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36ADD" w14:textId="5395C6FB" w:rsidR="00F132A3" w:rsidRPr="00D241FA" w:rsidRDefault="00F132A3" w:rsidP="00F132A3">
      <w:pPr>
        <w:tabs>
          <w:tab w:val="center" w:pos="4536"/>
          <w:tab w:val="right" w:pos="8280"/>
          <w:tab w:val="right" w:pos="9639"/>
        </w:tabs>
        <w:spacing w:after="0"/>
        <w:ind w:right="2"/>
        <w:jc w:val="both"/>
        <w:rPr>
          <w:rFonts w:ascii="Arial" w:eastAsia="Batang" w:hAnsi="Arial" w:cs="Arial"/>
          <w:b/>
          <w:sz w:val="24"/>
          <w:szCs w:val="24"/>
          <w:lang w:val="de-DE"/>
        </w:rPr>
      </w:pPr>
      <w:r w:rsidRPr="00D241FA">
        <w:rPr>
          <w:rFonts w:ascii="Arial" w:hAnsi="Arial" w:cs="Arial"/>
          <w:b/>
          <w:sz w:val="24"/>
          <w:szCs w:val="24"/>
          <w:lang w:val="de-DE"/>
        </w:rPr>
        <w:t>3GPP TSG RAN WG1 #1</w:t>
      </w:r>
      <w:r>
        <w:rPr>
          <w:rFonts w:ascii="Arial" w:hAnsi="Arial" w:cs="Arial"/>
          <w:b/>
          <w:sz w:val="24"/>
          <w:szCs w:val="24"/>
          <w:lang w:val="de-DE"/>
        </w:rPr>
        <w:t>10</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Pr>
          <w:rFonts w:ascii="Arial" w:hAnsi="Arial" w:cs="Arial"/>
          <w:b/>
          <w:sz w:val="24"/>
          <w:szCs w:val="24"/>
          <w:lang w:val="de-DE"/>
        </w:rPr>
        <w:t xml:space="preserve">     </w:t>
      </w:r>
      <w:r w:rsidRPr="001001D3">
        <w:rPr>
          <w:rFonts w:ascii="Arial" w:hAnsi="Arial" w:cs="Arial"/>
          <w:b/>
          <w:sz w:val="24"/>
          <w:szCs w:val="24"/>
          <w:lang w:val="de-DE"/>
        </w:rPr>
        <w:t>R1-22</w:t>
      </w:r>
      <w:r w:rsidR="001001D3" w:rsidRPr="001001D3">
        <w:rPr>
          <w:rFonts w:ascii="Arial" w:hAnsi="Arial" w:cs="Arial"/>
          <w:b/>
          <w:sz w:val="24"/>
          <w:szCs w:val="24"/>
          <w:lang w:val="de-DE"/>
        </w:rPr>
        <w:t>06542</w:t>
      </w:r>
    </w:p>
    <w:p w14:paraId="4D077122" w14:textId="77777777" w:rsidR="00F132A3" w:rsidRPr="00D241FA" w:rsidRDefault="00F132A3" w:rsidP="00F132A3">
      <w:pPr>
        <w:tabs>
          <w:tab w:val="center" w:pos="4536"/>
          <w:tab w:val="right" w:pos="9072"/>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22</w:t>
      </w:r>
      <w:r>
        <w:rPr>
          <w:rFonts w:ascii="Arial" w:eastAsia="MS Mincho" w:hAnsi="Arial" w:cs="Arial"/>
          <w:b/>
          <w:sz w:val="24"/>
          <w:szCs w:val="24"/>
          <w:vertAlign w:val="superscript"/>
          <w:lang w:eastAsia="ja-JP"/>
        </w:rPr>
        <w:t>nd</w:t>
      </w:r>
      <w:r>
        <w:rPr>
          <w:rFonts w:ascii="Arial" w:eastAsia="MS Mincho" w:hAnsi="Arial" w:cs="Arial"/>
          <w:b/>
          <w:sz w:val="24"/>
          <w:szCs w:val="24"/>
          <w:lang w:eastAsia="ja-JP"/>
        </w:rPr>
        <w:t xml:space="preserve"> </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D241FA">
        <w:rPr>
          <w:rFonts w:ascii="Arial" w:eastAsia="MS Mincho" w:hAnsi="Arial" w:cs="Arial"/>
          <w:b/>
          <w:sz w:val="24"/>
          <w:szCs w:val="24"/>
          <w:lang w:eastAsia="ja-JP"/>
        </w:rPr>
        <w:t xml:space="preserve"> 2</w:t>
      </w:r>
      <w:r>
        <w:rPr>
          <w:rFonts w:ascii="Arial" w:eastAsia="MS Mincho" w:hAnsi="Arial" w:cs="Arial"/>
          <w:b/>
          <w:sz w:val="24"/>
          <w:szCs w:val="24"/>
          <w:lang w:eastAsia="ja-JP"/>
        </w:rPr>
        <w:t>6</w:t>
      </w:r>
      <w:r w:rsidRPr="00D241FA">
        <w:rPr>
          <w:rFonts w:ascii="Arial" w:eastAsia="MS Mincho" w:hAnsi="Arial" w:cs="Arial"/>
          <w:b/>
          <w:sz w:val="24"/>
          <w:szCs w:val="24"/>
          <w:vertAlign w:val="superscript"/>
          <w:lang w:eastAsia="ja-JP"/>
        </w:rPr>
        <w:t>th</w:t>
      </w:r>
      <w:r w:rsidRPr="00D241FA">
        <w:rPr>
          <w:rFonts w:ascii="Arial" w:eastAsia="MS Mincho" w:hAnsi="Arial" w:cs="Arial"/>
          <w:b/>
          <w:sz w:val="24"/>
          <w:szCs w:val="24"/>
          <w:lang w:eastAsia="ja-JP"/>
        </w:rPr>
        <w:t>, 2022</w:t>
      </w:r>
    </w:p>
    <w:p w14:paraId="318BFED1" w14:textId="77777777" w:rsidR="00F132A3" w:rsidRPr="002074BE" w:rsidRDefault="00F132A3" w:rsidP="00F132A3">
      <w:pPr>
        <w:spacing w:after="0"/>
        <w:ind w:left="1988" w:hanging="1988"/>
        <w:rPr>
          <w:rFonts w:ascii="Arial" w:hAnsi="Arial" w:cs="Arial"/>
          <w:b/>
        </w:rPr>
      </w:pPr>
    </w:p>
    <w:p w14:paraId="62BB6D1E" w14:textId="77777777" w:rsidR="00F132A3" w:rsidRPr="00AA6A78" w:rsidRDefault="00F132A3" w:rsidP="00F132A3">
      <w:pPr>
        <w:spacing w:after="0"/>
        <w:ind w:left="1988" w:hanging="1988"/>
        <w:rPr>
          <w:rFonts w:ascii="Arial" w:hAnsi="Arial" w:cs="Arial"/>
          <w:b/>
          <w:sz w:val="24"/>
          <w:szCs w:val="24"/>
          <w:lang w:val="de-DE"/>
        </w:rPr>
      </w:pPr>
      <w:r w:rsidRPr="00AA6A78">
        <w:rPr>
          <w:rFonts w:ascii="Arial" w:hAnsi="Arial" w:cs="Arial"/>
          <w:b/>
          <w:sz w:val="24"/>
          <w:szCs w:val="24"/>
          <w:lang w:val="de-DE"/>
        </w:rPr>
        <w:t>Source:</w:t>
      </w:r>
      <w:r w:rsidRPr="00AA6A78">
        <w:rPr>
          <w:rFonts w:ascii="Arial" w:hAnsi="Arial" w:cs="Arial"/>
          <w:b/>
          <w:sz w:val="24"/>
          <w:szCs w:val="24"/>
          <w:lang w:val="de-DE"/>
        </w:rPr>
        <w:tab/>
        <w:t>Intel Corporation</w:t>
      </w:r>
    </w:p>
    <w:p w14:paraId="4B5605E5" w14:textId="0958ABCF" w:rsidR="00F132A3" w:rsidRPr="00AA6A78" w:rsidRDefault="00F132A3" w:rsidP="00F132A3">
      <w:pPr>
        <w:spacing w:after="0"/>
        <w:ind w:left="1988" w:hanging="1988"/>
        <w:rPr>
          <w:rFonts w:ascii="Arial" w:hAnsi="Arial" w:cs="Arial"/>
          <w:b/>
          <w:sz w:val="24"/>
          <w:szCs w:val="24"/>
          <w:lang w:val="de-DE"/>
        </w:rPr>
      </w:pPr>
      <w:r w:rsidRPr="00AA6A78">
        <w:rPr>
          <w:rFonts w:ascii="Arial" w:hAnsi="Arial" w:cs="Arial"/>
          <w:b/>
          <w:sz w:val="24"/>
          <w:szCs w:val="24"/>
          <w:lang w:val="de-DE"/>
        </w:rPr>
        <w:t>Title:</w:t>
      </w:r>
      <w:r w:rsidRPr="00AA6A78">
        <w:rPr>
          <w:rFonts w:ascii="Arial" w:hAnsi="Arial" w:cs="Arial"/>
          <w:b/>
          <w:sz w:val="24"/>
          <w:szCs w:val="24"/>
          <w:lang w:val="de-DE"/>
        </w:rPr>
        <w:tab/>
      </w:r>
      <w:r>
        <w:rPr>
          <w:rFonts w:ascii="Arial" w:hAnsi="Arial" w:cs="Arial"/>
          <w:b/>
          <w:sz w:val="24"/>
          <w:szCs w:val="24"/>
          <w:lang w:val="de-DE"/>
        </w:rPr>
        <w:t xml:space="preserve">Discussion on Pout and EDT Threshould </w:t>
      </w:r>
      <w:r w:rsidRPr="00F132A3">
        <w:rPr>
          <w:rFonts w:ascii="Arial" w:hAnsi="Arial" w:cs="Arial"/>
          <w:b/>
          <w:sz w:val="24"/>
          <w:szCs w:val="24"/>
          <w:lang w:val="de-DE"/>
        </w:rPr>
        <w:t xml:space="preserve">for </w:t>
      </w:r>
      <w:r>
        <w:rPr>
          <w:rFonts w:ascii="Arial" w:hAnsi="Arial" w:cs="Arial"/>
          <w:b/>
          <w:sz w:val="24"/>
          <w:szCs w:val="24"/>
          <w:lang w:val="de-DE"/>
        </w:rPr>
        <w:t>I</w:t>
      </w:r>
      <w:r w:rsidRPr="00F132A3">
        <w:rPr>
          <w:rFonts w:ascii="Arial" w:hAnsi="Arial" w:cs="Arial"/>
          <w:b/>
          <w:sz w:val="24"/>
          <w:szCs w:val="24"/>
          <w:lang w:val="de-DE"/>
        </w:rPr>
        <w:t xml:space="preserve">ndependent per-beam LBT </w:t>
      </w:r>
      <w:r>
        <w:rPr>
          <w:rFonts w:ascii="Arial" w:hAnsi="Arial" w:cs="Arial"/>
          <w:b/>
          <w:sz w:val="24"/>
          <w:szCs w:val="24"/>
          <w:lang w:val="de-DE"/>
        </w:rPr>
        <w:t>O</w:t>
      </w:r>
      <w:r w:rsidRPr="00F132A3">
        <w:rPr>
          <w:rFonts w:ascii="Arial" w:hAnsi="Arial" w:cs="Arial"/>
          <w:b/>
          <w:sz w:val="24"/>
          <w:szCs w:val="24"/>
          <w:lang w:val="de-DE"/>
        </w:rPr>
        <w:t>peration</w:t>
      </w:r>
    </w:p>
    <w:p w14:paraId="3E2CEE8B" w14:textId="77777777" w:rsidR="00F132A3" w:rsidRPr="00AA6A78" w:rsidRDefault="00F132A3" w:rsidP="00F132A3">
      <w:pPr>
        <w:spacing w:after="0"/>
        <w:ind w:left="1988" w:hanging="1988"/>
        <w:rPr>
          <w:rFonts w:ascii="Arial" w:hAnsi="Arial" w:cs="Arial"/>
          <w:b/>
          <w:sz w:val="24"/>
          <w:szCs w:val="24"/>
          <w:lang w:val="de-DE"/>
        </w:rPr>
      </w:pPr>
      <w:r w:rsidRPr="00AA6A78">
        <w:rPr>
          <w:rFonts w:ascii="Arial" w:hAnsi="Arial" w:cs="Arial"/>
          <w:b/>
          <w:sz w:val="24"/>
          <w:szCs w:val="24"/>
          <w:lang w:val="de-DE"/>
        </w:rPr>
        <w:t>Agenda item:</w:t>
      </w:r>
      <w:r w:rsidRPr="00AA6A78">
        <w:rPr>
          <w:rFonts w:ascii="Arial" w:hAnsi="Arial" w:cs="Arial"/>
          <w:b/>
          <w:sz w:val="24"/>
          <w:szCs w:val="24"/>
          <w:lang w:val="de-DE"/>
        </w:rPr>
        <w:tab/>
      </w:r>
      <w:r>
        <w:rPr>
          <w:rFonts w:ascii="Arial" w:hAnsi="Arial" w:cs="Arial"/>
          <w:b/>
          <w:sz w:val="24"/>
        </w:rPr>
        <w:t>8.2</w:t>
      </w:r>
    </w:p>
    <w:p w14:paraId="5CC827DB" w14:textId="77777777" w:rsidR="00F132A3" w:rsidRPr="00AA6A78" w:rsidRDefault="00F132A3" w:rsidP="00F132A3">
      <w:pPr>
        <w:spacing w:after="0"/>
        <w:ind w:left="1988" w:hanging="1988"/>
        <w:rPr>
          <w:rFonts w:ascii="Arial" w:hAnsi="Arial" w:cs="Arial"/>
          <w:b/>
          <w:sz w:val="24"/>
          <w:szCs w:val="24"/>
          <w:lang w:val="de-DE"/>
        </w:rPr>
      </w:pPr>
      <w:r w:rsidRPr="00AA6A78">
        <w:rPr>
          <w:rFonts w:ascii="Arial" w:hAnsi="Arial" w:cs="Arial"/>
          <w:b/>
          <w:sz w:val="24"/>
          <w:szCs w:val="24"/>
          <w:lang w:val="de-DE"/>
        </w:rPr>
        <w:t>Document for:</w:t>
      </w:r>
      <w:bookmarkStart w:id="0" w:name="DocumentFor"/>
      <w:bookmarkEnd w:id="0"/>
      <w:r w:rsidRPr="00AA6A78">
        <w:rPr>
          <w:rFonts w:ascii="Arial" w:hAnsi="Arial" w:cs="Arial"/>
          <w:b/>
          <w:sz w:val="24"/>
          <w:szCs w:val="24"/>
          <w:lang w:val="de-DE"/>
        </w:rPr>
        <w:tab/>
        <w:t>Discussion and Decision</w:t>
      </w:r>
    </w:p>
    <w:p w14:paraId="05ADE2D7" w14:textId="77777777" w:rsidR="00F132A3" w:rsidRPr="00DD137F" w:rsidRDefault="00F132A3" w:rsidP="005712AF">
      <w:pPr>
        <w:pStyle w:val="Heading1"/>
        <w:ind w:left="450"/>
        <w:textAlignment w:val="auto"/>
        <w:rPr>
          <w:lang w:val="en-US"/>
        </w:rPr>
      </w:pPr>
      <w:bookmarkStart w:id="1" w:name="_Ref506539118"/>
      <w:r w:rsidRPr="00DD137F">
        <w:rPr>
          <w:lang w:val="en-US"/>
        </w:rPr>
        <w:t>Introduction</w:t>
      </w:r>
      <w:bookmarkEnd w:id="1"/>
    </w:p>
    <w:p w14:paraId="7AE40341" w14:textId="648A9657" w:rsidR="00F132A3" w:rsidRDefault="00F132A3" w:rsidP="00AA0535">
      <w:pPr>
        <w:spacing w:after="0" w:line="276" w:lineRule="auto"/>
        <w:jc w:val="both"/>
      </w:pPr>
      <w:bookmarkStart w:id="2" w:name="_Ref47259910"/>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r w:rsidRPr="00EE3DF3">
        <w:rPr>
          <w:szCs w:val="22"/>
        </w:rPr>
        <w:t>In th</w:t>
      </w:r>
      <w:r>
        <w:rPr>
          <w:szCs w:val="22"/>
        </w:rPr>
        <w:t>is</w:t>
      </w:r>
      <w:r w:rsidRPr="00EE3DF3">
        <w:rPr>
          <w:szCs w:val="22"/>
        </w:rPr>
        <w:t xml:space="preserve"> </w:t>
      </w:r>
      <w:r>
        <w:rPr>
          <w:szCs w:val="22"/>
        </w:rPr>
        <w:t>contribution, in the context of</w:t>
      </w:r>
      <w:r w:rsidRPr="00062AE3">
        <w:rPr>
          <w:szCs w:val="22"/>
        </w:rPr>
        <w:t xml:space="preserve"> </w:t>
      </w:r>
      <w:r>
        <w:rPr>
          <w:szCs w:val="22"/>
        </w:rPr>
        <w:t xml:space="preserve">channel access to </w:t>
      </w:r>
      <w:r w:rsidRPr="001C1262">
        <w:rPr>
          <w:szCs w:val="22"/>
        </w:rPr>
        <w:t>extend NR up to 71 GHz</w:t>
      </w:r>
      <w:r>
        <w:rPr>
          <w:szCs w:val="22"/>
        </w:rPr>
        <w:t xml:space="preserve"> and based on the agreements and conclusions </w:t>
      </w:r>
      <w:r w:rsidRPr="00062AE3">
        <w:rPr>
          <w:szCs w:val="22"/>
        </w:rPr>
        <w:t xml:space="preserve">made during the previous </w:t>
      </w:r>
      <w:r w:rsidRPr="000F5665">
        <w:rPr>
          <w:szCs w:val="22"/>
        </w:rPr>
        <w:t>RAN1 meeting</w:t>
      </w:r>
      <w:r>
        <w:rPr>
          <w:szCs w:val="22"/>
        </w:rPr>
        <w:t xml:space="preserve">s along this WI, we discuss the </w:t>
      </w:r>
      <w:r w:rsidR="00822C23">
        <w:rPr>
          <w:szCs w:val="22"/>
        </w:rPr>
        <w:t>last details related to the P</w:t>
      </w:r>
      <w:r w:rsidR="001E6C7F">
        <w:rPr>
          <w:szCs w:val="22"/>
        </w:rPr>
        <w:t>out</w:t>
      </w:r>
      <w:r w:rsidR="00822C23">
        <w:rPr>
          <w:szCs w:val="22"/>
        </w:rPr>
        <w:t xml:space="preserve"> definition for the EDT threshold calculation for independent per-beam LBT operation</w:t>
      </w:r>
      <w:r>
        <w:t>, where the change requests are provided in [</w:t>
      </w:r>
      <w:r w:rsidR="00922607">
        <w:t>1</w:t>
      </w:r>
      <w:r>
        <w:t>].</w:t>
      </w:r>
    </w:p>
    <w:p w14:paraId="4A648BCA" w14:textId="1746B3B5" w:rsidR="00320B12" w:rsidRPr="005712AF" w:rsidRDefault="00320B12" w:rsidP="005712AF">
      <w:pPr>
        <w:pStyle w:val="Heading1"/>
        <w:ind w:left="450"/>
        <w:textAlignment w:val="auto"/>
        <w:rPr>
          <w:lang w:val="en-US"/>
        </w:rPr>
      </w:pPr>
      <w:r w:rsidRPr="005712AF">
        <w:rPr>
          <w:lang w:val="en-US"/>
        </w:rPr>
        <w:t>Definition of Pout within the EDT Calculation for Independent per-beam LBT Operation</w:t>
      </w:r>
    </w:p>
    <w:p w14:paraId="5BD65568" w14:textId="65AA432A" w:rsidR="00E56BA3" w:rsidRDefault="00E56BA3" w:rsidP="00FE1D05">
      <w:pPr>
        <w:jc w:val="both"/>
        <w:rPr>
          <w:b/>
          <w:bCs/>
          <w:szCs w:val="22"/>
        </w:rPr>
      </w:pPr>
      <w:r>
        <w:t xml:space="preserve">In prior RAN#1 meetings, the EDT threshold to use to determine whether a channel is busy or not has been defined for FR2-2 as per the following agreement: </w:t>
      </w:r>
    </w:p>
    <w:tbl>
      <w:tblPr>
        <w:tblStyle w:val="TableGrid"/>
        <w:tblW w:w="0" w:type="auto"/>
        <w:tblLook w:val="04A0" w:firstRow="1" w:lastRow="0" w:firstColumn="1" w:lastColumn="0" w:noHBand="0" w:noVBand="1"/>
      </w:tblPr>
      <w:tblGrid>
        <w:gridCol w:w="9919"/>
      </w:tblGrid>
      <w:tr w:rsidR="00E56BA3" w14:paraId="19C449D5" w14:textId="77777777" w:rsidTr="002D4DD4">
        <w:tc>
          <w:tcPr>
            <w:tcW w:w="9919" w:type="dxa"/>
            <w:tcBorders>
              <w:top w:val="single" w:sz="4" w:space="0" w:color="auto"/>
              <w:left w:val="single" w:sz="4" w:space="0" w:color="auto"/>
              <w:bottom w:val="single" w:sz="4" w:space="0" w:color="auto"/>
              <w:right w:val="single" w:sz="4" w:space="0" w:color="auto"/>
            </w:tcBorders>
            <w:hideMark/>
          </w:tcPr>
          <w:p w14:paraId="4897502C" w14:textId="77777777" w:rsidR="00E56BA3" w:rsidRPr="00FE1D05" w:rsidRDefault="00E56BA3" w:rsidP="002D4DD4">
            <w:pPr>
              <w:spacing w:before="0" w:after="0"/>
              <w:rPr>
                <w:sz w:val="22"/>
                <w:szCs w:val="22"/>
                <w:lang w:eastAsia="x-none"/>
              </w:rPr>
            </w:pPr>
            <w:r w:rsidRPr="00FE1D05">
              <w:rPr>
                <w:sz w:val="22"/>
                <w:szCs w:val="22"/>
                <w:highlight w:val="green"/>
                <w:lang w:eastAsia="x-none"/>
              </w:rPr>
              <w:t>Agreement:</w:t>
            </w:r>
          </w:p>
          <w:p w14:paraId="6FEB7635" w14:textId="77777777" w:rsidR="00E56BA3" w:rsidRPr="00FE1D05" w:rsidRDefault="00E56BA3" w:rsidP="002D4DD4">
            <w:pPr>
              <w:spacing w:before="0" w:after="0"/>
              <w:rPr>
                <w:sz w:val="22"/>
                <w:szCs w:val="22"/>
                <w:lang w:eastAsia="x-none"/>
              </w:rPr>
            </w:pPr>
            <w:r w:rsidRPr="00FE1D05">
              <w:rPr>
                <w:sz w:val="22"/>
                <w:szCs w:val="22"/>
                <w:lang w:eastAsia="x-none"/>
              </w:rPr>
              <w:t>The baseline ED threshold can be computed as</w:t>
            </w:r>
          </w:p>
          <w:p w14:paraId="3722C15F" w14:textId="77777777" w:rsidR="00E56BA3" w:rsidRPr="00FE1D05" w:rsidRDefault="00E56BA3" w:rsidP="002D4DD4">
            <w:pPr>
              <w:spacing w:before="0" w:after="0"/>
              <w:rPr>
                <w:sz w:val="22"/>
                <w:szCs w:val="22"/>
                <w:lang w:eastAsia="x-none"/>
              </w:rPr>
            </w:pPr>
            <m:oMathPara>
              <m:oMath>
                <m:r>
                  <w:rPr>
                    <w:rFonts w:ascii="Cambria Math" w:hAnsi="Cambria Math"/>
                    <w:snapToGrid w:val="0"/>
                    <w:kern w:val="2"/>
                    <w:sz w:val="22"/>
                    <w:szCs w:val="22"/>
                  </w:rPr>
                  <m:t>EDT=-80 dBm+10*log10</m:t>
                </m:r>
                <m:d>
                  <m:dPr>
                    <m:ctrlPr>
                      <w:rPr>
                        <w:rFonts w:ascii="Cambria Math" w:hAnsi="Cambria Math"/>
                        <w:i/>
                        <w:snapToGrid w:val="0"/>
                        <w:kern w:val="2"/>
                        <w:sz w:val="22"/>
                        <w:szCs w:val="22"/>
                        <w:lang w:eastAsia="ko-KR"/>
                      </w:rPr>
                    </m:ctrlPr>
                  </m:dPr>
                  <m:e>
                    <m:f>
                      <m:fPr>
                        <m:ctrlPr>
                          <w:rPr>
                            <w:rFonts w:ascii="Cambria Math" w:hAnsi="Cambria Math"/>
                            <w:i/>
                            <w:snapToGrid w:val="0"/>
                            <w:kern w:val="2"/>
                            <w:sz w:val="22"/>
                            <w:szCs w:val="22"/>
                            <w:lang w:eastAsia="ko-KR"/>
                          </w:rPr>
                        </m:ctrlPr>
                      </m:fPr>
                      <m:num>
                        <m:r>
                          <w:rPr>
                            <w:rFonts w:ascii="Cambria Math" w:hAnsi="Cambria Math"/>
                            <w:snapToGrid w:val="0"/>
                            <w:kern w:val="2"/>
                            <w:sz w:val="22"/>
                            <w:szCs w:val="22"/>
                          </w:rPr>
                          <m:t>Pmax</m:t>
                        </m:r>
                      </m:num>
                      <m:den>
                        <m:r>
                          <w:rPr>
                            <w:rFonts w:ascii="Cambria Math" w:hAnsi="Cambria Math"/>
                            <w:snapToGrid w:val="0"/>
                            <w:kern w:val="2"/>
                            <w:sz w:val="22"/>
                            <w:szCs w:val="22"/>
                          </w:rPr>
                          <m:t>Pout</m:t>
                        </m:r>
                      </m:den>
                    </m:f>
                  </m:e>
                </m:d>
                <m:r>
                  <w:rPr>
                    <w:rFonts w:ascii="Cambria Math" w:hAnsi="Cambria Math"/>
                    <w:snapToGrid w:val="0"/>
                    <w:kern w:val="2"/>
                    <w:sz w:val="22"/>
                    <w:szCs w:val="22"/>
                  </w:rPr>
                  <m:t>+10*log10(Operating Channel BW in MHz)</m:t>
                </m:r>
              </m:oMath>
            </m:oMathPara>
          </w:p>
          <w:p w14:paraId="4B612590" w14:textId="77777777" w:rsidR="00E56BA3" w:rsidRPr="00FE1D05" w:rsidRDefault="00E56BA3" w:rsidP="002D4DD4">
            <w:pPr>
              <w:spacing w:before="0" w:after="0"/>
              <w:rPr>
                <w:sz w:val="22"/>
                <w:szCs w:val="22"/>
                <w:lang w:eastAsia="x-none"/>
              </w:rPr>
            </w:pPr>
            <w:r w:rsidRPr="00FE1D05">
              <w:rPr>
                <w:sz w:val="22"/>
                <w:szCs w:val="22"/>
                <w:lang w:eastAsia="x-none"/>
              </w:rPr>
              <w:t xml:space="preserve"> Where Pout is RF output power (EIRP) and Pmax is the RF output power limit, </w:t>
            </w:r>
            <w:proofErr w:type="spellStart"/>
            <w:r w:rsidRPr="00FE1D05">
              <w:rPr>
                <w:sz w:val="22"/>
                <w:szCs w:val="22"/>
                <w:lang w:eastAsia="x-none"/>
              </w:rPr>
              <w:t>Pout≤Pmax</w:t>
            </w:r>
            <w:proofErr w:type="spellEnd"/>
            <w:r w:rsidRPr="00FE1D05">
              <w:rPr>
                <w:sz w:val="22"/>
                <w:szCs w:val="22"/>
                <w:lang w:eastAsia="x-none"/>
              </w:rPr>
              <w:t>.</w:t>
            </w:r>
          </w:p>
          <w:p w14:paraId="68EAED29" w14:textId="77777777" w:rsidR="00E56BA3" w:rsidRPr="00FE1D05" w:rsidRDefault="00E56BA3" w:rsidP="00E56BA3">
            <w:pPr>
              <w:numPr>
                <w:ilvl w:val="0"/>
                <w:numId w:val="7"/>
              </w:numPr>
              <w:overflowPunct/>
              <w:autoSpaceDE/>
              <w:autoSpaceDN/>
              <w:adjustRightInd/>
              <w:spacing w:before="0" w:after="0"/>
              <w:textAlignment w:val="auto"/>
              <w:rPr>
                <w:sz w:val="22"/>
                <w:szCs w:val="22"/>
                <w:lang w:eastAsia="x-none"/>
              </w:rPr>
            </w:pPr>
            <w:r w:rsidRPr="00FE1D05">
              <w:rPr>
                <w:sz w:val="22"/>
                <w:szCs w:val="22"/>
                <w:lang w:eastAsia="x-none"/>
              </w:rPr>
              <w:t>FFS: Further adjustment on ED threshold based on the sensing beam and the transmission beam (further adjustment should not violate EDT requirements as per regulations)</w:t>
            </w:r>
          </w:p>
          <w:p w14:paraId="179934A9" w14:textId="77777777" w:rsidR="00E56BA3" w:rsidRPr="00FE1D05" w:rsidRDefault="00E56BA3" w:rsidP="00E56BA3">
            <w:pPr>
              <w:numPr>
                <w:ilvl w:val="0"/>
                <w:numId w:val="7"/>
              </w:numPr>
              <w:overflowPunct/>
              <w:autoSpaceDE/>
              <w:autoSpaceDN/>
              <w:adjustRightInd/>
              <w:spacing w:before="0" w:after="0"/>
              <w:textAlignment w:val="auto"/>
              <w:rPr>
                <w:sz w:val="22"/>
                <w:szCs w:val="22"/>
                <w:lang w:eastAsia="x-none"/>
              </w:rPr>
            </w:pPr>
            <w:r w:rsidRPr="00FE1D05">
              <w:rPr>
                <w:sz w:val="22"/>
                <w:szCs w:val="22"/>
                <w:lang w:eastAsia="x-none"/>
              </w:rPr>
              <w:t>FFS: If Pout is max output EIRP of the device or instantaneous output EIRP</w:t>
            </w:r>
          </w:p>
          <w:p w14:paraId="6B85E70C" w14:textId="77777777" w:rsidR="00E56BA3" w:rsidRPr="00FE1D05" w:rsidRDefault="00E56BA3" w:rsidP="00E56BA3">
            <w:pPr>
              <w:numPr>
                <w:ilvl w:val="0"/>
                <w:numId w:val="7"/>
              </w:numPr>
              <w:overflowPunct/>
              <w:autoSpaceDE/>
              <w:autoSpaceDN/>
              <w:adjustRightInd/>
              <w:spacing w:before="0" w:after="0"/>
              <w:textAlignment w:val="auto"/>
              <w:rPr>
                <w:sz w:val="22"/>
                <w:szCs w:val="22"/>
                <w:lang w:eastAsia="x-none"/>
              </w:rPr>
            </w:pPr>
            <w:r w:rsidRPr="00FE1D05">
              <w:rPr>
                <w:sz w:val="22"/>
                <w:szCs w:val="22"/>
                <w:lang w:eastAsia="x-none"/>
              </w:rPr>
              <w:t>FFS definition of Operating Channel BW</w:t>
            </w:r>
          </w:p>
          <w:p w14:paraId="0AFDA548" w14:textId="77777777" w:rsidR="00E56BA3" w:rsidRPr="00FE1D05" w:rsidRDefault="00E56BA3" w:rsidP="00E56BA3">
            <w:pPr>
              <w:numPr>
                <w:ilvl w:val="0"/>
                <w:numId w:val="7"/>
              </w:numPr>
              <w:overflowPunct/>
              <w:autoSpaceDE/>
              <w:autoSpaceDN/>
              <w:adjustRightInd/>
              <w:spacing w:before="0" w:after="0"/>
              <w:textAlignment w:val="auto"/>
              <w:rPr>
                <w:sz w:val="22"/>
                <w:szCs w:val="22"/>
                <w:lang w:eastAsia="x-none"/>
              </w:rPr>
            </w:pPr>
            <w:r w:rsidRPr="00FE1D05">
              <w:rPr>
                <w:sz w:val="22"/>
                <w:szCs w:val="22"/>
                <w:lang w:eastAsia="x-none"/>
              </w:rPr>
              <w:t xml:space="preserve">FFS: Whether ED threshold for </w:t>
            </w:r>
            <w:r w:rsidRPr="00FE1D05">
              <w:rPr>
                <w:iCs/>
                <w:sz w:val="22"/>
                <w:szCs w:val="22"/>
                <w:lang w:eastAsia="x-none"/>
              </w:rPr>
              <w:t>NR-U and NR-U coexistence scenarios (</w:t>
            </w:r>
            <w:proofErr w:type="spellStart"/>
            <w:r w:rsidRPr="00FE1D05">
              <w:rPr>
                <w:iCs/>
                <w:sz w:val="22"/>
                <w:szCs w:val="22"/>
                <w:lang w:eastAsia="x-none"/>
              </w:rPr>
              <w:t>eg</w:t>
            </w:r>
            <w:proofErr w:type="spellEnd"/>
            <w:r w:rsidRPr="00FE1D05">
              <w:rPr>
                <w:iCs/>
                <w:sz w:val="22"/>
                <w:szCs w:val="22"/>
                <w:lang w:eastAsia="x-none"/>
              </w:rPr>
              <w:t>, at regulation level) can be appropriately relaxed compared with the threshold of coexistence between NR-U and Wi-Fi.</w:t>
            </w:r>
          </w:p>
          <w:p w14:paraId="3FBA809D" w14:textId="77777777" w:rsidR="00E56BA3" w:rsidRPr="00FE1D05" w:rsidRDefault="00E56BA3" w:rsidP="00E56BA3">
            <w:pPr>
              <w:numPr>
                <w:ilvl w:val="0"/>
                <w:numId w:val="7"/>
              </w:numPr>
              <w:overflowPunct/>
              <w:autoSpaceDE/>
              <w:autoSpaceDN/>
              <w:adjustRightInd/>
              <w:spacing w:before="0" w:after="0"/>
              <w:textAlignment w:val="auto"/>
              <w:rPr>
                <w:sz w:val="22"/>
                <w:szCs w:val="22"/>
                <w:lang w:eastAsia="x-none"/>
              </w:rPr>
            </w:pPr>
            <w:r w:rsidRPr="00FE1D05">
              <w:rPr>
                <w:sz w:val="22"/>
                <w:szCs w:val="22"/>
                <w:lang w:eastAsia="x-none"/>
              </w:rPr>
              <w:t>FFS: EDT when the COT has time varying transmission beams and varying EIRP</w:t>
            </w:r>
          </w:p>
          <w:p w14:paraId="70E4EF7C" w14:textId="77777777" w:rsidR="00E56BA3" w:rsidRPr="005D6FF8" w:rsidRDefault="00E56BA3" w:rsidP="002D4DD4">
            <w:pPr>
              <w:pStyle w:val="ListParagraph"/>
              <w:spacing w:before="0"/>
              <w:ind w:left="0"/>
              <w:rPr>
                <w:sz w:val="16"/>
                <w:szCs w:val="16"/>
              </w:rPr>
            </w:pPr>
          </w:p>
        </w:tc>
      </w:tr>
    </w:tbl>
    <w:p w14:paraId="1A512581" w14:textId="77777777" w:rsidR="00E56BA3" w:rsidRDefault="00E56BA3" w:rsidP="00E56BA3">
      <w:pPr>
        <w:spacing w:line="276" w:lineRule="auto"/>
        <w:rPr>
          <w:szCs w:val="22"/>
        </w:rPr>
      </w:pPr>
      <w:r>
        <w:rPr>
          <w:szCs w:val="22"/>
        </w:rPr>
        <w:t xml:space="preserve"> </w:t>
      </w:r>
    </w:p>
    <w:p w14:paraId="278D2A2E" w14:textId="794BEA8F" w:rsidR="005B6E38" w:rsidRPr="003011A7" w:rsidRDefault="005B6E38" w:rsidP="005B6E38">
      <w:pPr>
        <w:spacing w:line="276" w:lineRule="auto"/>
        <w:jc w:val="both"/>
        <w:rPr>
          <w:szCs w:val="22"/>
        </w:rPr>
      </w:pPr>
      <w:r w:rsidRPr="005B6E38">
        <w:rPr>
          <w:lang w:eastAsia="ja-JP"/>
        </w:rPr>
        <w:t>Furthermore</w:t>
      </w:r>
      <w:r>
        <w:rPr>
          <w:lang w:eastAsia="ja-JP"/>
        </w:rPr>
        <w:t>, in the context of per-beam LBT operation, the following agreements</w:t>
      </w:r>
      <w:r w:rsidRPr="005B6E38">
        <w:rPr>
          <w:szCs w:val="22"/>
        </w:rPr>
        <w:t xml:space="preserve"> </w:t>
      </w:r>
      <w:r>
        <w:rPr>
          <w:szCs w:val="22"/>
        </w:rPr>
        <w:t>have been made during the prior RAN1 meetings:</w:t>
      </w:r>
    </w:p>
    <w:tbl>
      <w:tblPr>
        <w:tblStyle w:val="TableGrid"/>
        <w:tblW w:w="0" w:type="auto"/>
        <w:tblLook w:val="04A0" w:firstRow="1" w:lastRow="0" w:firstColumn="1" w:lastColumn="0" w:noHBand="0" w:noVBand="1"/>
      </w:tblPr>
      <w:tblGrid>
        <w:gridCol w:w="9962"/>
      </w:tblGrid>
      <w:tr w:rsidR="005B6E38" w14:paraId="5A37A1B9" w14:textId="77777777" w:rsidTr="005B6E38">
        <w:tc>
          <w:tcPr>
            <w:tcW w:w="9962" w:type="dxa"/>
          </w:tcPr>
          <w:p w14:paraId="0501D976" w14:textId="77777777" w:rsidR="005B6E38" w:rsidRPr="00372EFF" w:rsidRDefault="005B6E38" w:rsidP="005B6E38">
            <w:pPr>
              <w:rPr>
                <w:rFonts w:eastAsia="Batang"/>
                <w:b/>
                <w:bCs/>
                <w:sz w:val="22"/>
                <w:szCs w:val="22"/>
                <w:lang w:eastAsia="x-none"/>
              </w:rPr>
            </w:pPr>
            <w:r w:rsidRPr="00372EFF">
              <w:rPr>
                <w:rFonts w:eastAsia="Batang"/>
                <w:b/>
                <w:bCs/>
                <w:sz w:val="22"/>
                <w:szCs w:val="22"/>
                <w:highlight w:val="green"/>
                <w:lang w:eastAsia="x-none"/>
              </w:rPr>
              <w:t xml:space="preserve">Agreement </w:t>
            </w:r>
            <w:r w:rsidRPr="00372EFF">
              <w:rPr>
                <w:rFonts w:eastAsia="Batang"/>
                <w:b/>
                <w:bCs/>
                <w:sz w:val="22"/>
                <w:szCs w:val="22"/>
                <w:lang w:eastAsia="x-none"/>
              </w:rPr>
              <w:t>(SDM Case)</w:t>
            </w:r>
          </w:p>
          <w:p w14:paraId="330042BC" w14:textId="77777777" w:rsidR="005B6E38" w:rsidRPr="00372EFF" w:rsidRDefault="005B6E38" w:rsidP="005B6E38">
            <w:pPr>
              <w:rPr>
                <w:rFonts w:eastAsia="Batang"/>
                <w:sz w:val="22"/>
                <w:szCs w:val="22"/>
                <w:lang w:eastAsia="ja-JP"/>
              </w:rPr>
            </w:pPr>
            <w:r w:rsidRPr="00372EFF">
              <w:rPr>
                <w:rFonts w:eastAsia="Batang"/>
                <w:sz w:val="22"/>
                <w:szCs w:val="22"/>
                <w:lang w:eastAsia="ja-JP"/>
              </w:rPr>
              <w:t>For a COT with MU-MIMO (SDM) transmission, support both Alt 1 and Alt 2 below:</w:t>
            </w:r>
          </w:p>
          <w:p w14:paraId="2C0CE8FC" w14:textId="77777777" w:rsidR="005B6E38" w:rsidRPr="00372EFF" w:rsidRDefault="005B6E38" w:rsidP="005B6E38">
            <w:pPr>
              <w:numPr>
                <w:ilvl w:val="0"/>
                <w:numId w:val="9"/>
              </w:numPr>
              <w:autoSpaceDE/>
              <w:autoSpaceDN/>
              <w:adjustRightInd/>
              <w:snapToGrid w:val="0"/>
              <w:spacing w:after="0"/>
              <w:jc w:val="left"/>
              <w:textAlignment w:val="auto"/>
              <w:rPr>
                <w:rFonts w:eastAsia="Times New Roman"/>
                <w:sz w:val="22"/>
                <w:szCs w:val="22"/>
                <w:lang w:val="en-GB" w:eastAsia="ko-KR"/>
              </w:rPr>
            </w:pPr>
            <w:r w:rsidRPr="00372EFF">
              <w:rPr>
                <w:rFonts w:eastAsia="Times New Roman"/>
                <w:sz w:val="22"/>
                <w:szCs w:val="22"/>
                <w:lang w:eastAsia="ko-KR"/>
              </w:rPr>
              <w:t>Alt 1: Single LBT sensing at the start of the COT with wide beam ‘cover’ all beams to be used in the COT with appropriate ED threshold</w:t>
            </w:r>
          </w:p>
          <w:p w14:paraId="0652D85A" w14:textId="77777777" w:rsidR="005B6E38" w:rsidRPr="00372EFF" w:rsidRDefault="005B6E38" w:rsidP="005B6E38">
            <w:pPr>
              <w:numPr>
                <w:ilvl w:val="0"/>
                <w:numId w:val="9"/>
              </w:numPr>
              <w:autoSpaceDE/>
              <w:autoSpaceDN/>
              <w:adjustRightInd/>
              <w:snapToGrid w:val="0"/>
              <w:spacing w:after="0"/>
              <w:jc w:val="left"/>
              <w:textAlignment w:val="auto"/>
              <w:rPr>
                <w:rFonts w:eastAsia="Times New Roman"/>
                <w:sz w:val="22"/>
                <w:szCs w:val="22"/>
                <w:lang w:eastAsia="ko-KR"/>
              </w:rPr>
            </w:pPr>
            <w:r w:rsidRPr="00372EFF">
              <w:rPr>
                <w:rFonts w:eastAsia="Times New Roman"/>
                <w:sz w:val="22"/>
                <w:szCs w:val="22"/>
                <w:lang w:eastAsia="ko-KR"/>
              </w:rPr>
              <w:t>Alt 2: Independent per-beam LBT sensing at the start of COT is performed for beams used in th</w:t>
            </w:r>
            <w:r w:rsidRPr="00372EFF">
              <w:rPr>
                <w:rFonts w:eastAsia="Times New Roman"/>
                <w:color w:val="000000"/>
                <w:sz w:val="22"/>
                <w:szCs w:val="22"/>
                <w:lang w:eastAsia="ko-KR"/>
              </w:rPr>
              <w:t>e COT,</w:t>
            </w:r>
            <w:r w:rsidRPr="00372EFF">
              <w:rPr>
                <w:rFonts w:eastAsia="Times New Roman"/>
                <w:color w:val="000000"/>
                <w:sz w:val="22"/>
                <w:szCs w:val="22"/>
                <w:lang w:eastAsia="x-none"/>
              </w:rPr>
              <w:t xml:space="preserve"> if the </w:t>
            </w:r>
            <w:r w:rsidRPr="00372EFF">
              <w:rPr>
                <w:rFonts w:eastAsia="Times New Roman"/>
                <w:sz w:val="22"/>
                <w:szCs w:val="22"/>
                <w:lang w:eastAsia="x-none"/>
              </w:rPr>
              <w:t>node can perform simultaneous sensing in different beams</w:t>
            </w:r>
            <w:r w:rsidRPr="00372EFF">
              <w:rPr>
                <w:rFonts w:eastAsia="Times New Roman"/>
                <w:sz w:val="22"/>
                <w:szCs w:val="22"/>
                <w:lang w:eastAsia="ko-KR"/>
              </w:rPr>
              <w:t xml:space="preserve"> </w:t>
            </w:r>
          </w:p>
          <w:p w14:paraId="3342AF24" w14:textId="77777777" w:rsidR="005B6E38" w:rsidRPr="00372EFF" w:rsidRDefault="005B6E38" w:rsidP="005B6E38">
            <w:pPr>
              <w:rPr>
                <w:rFonts w:eastAsia="DengXian"/>
                <w:color w:val="000000"/>
                <w:sz w:val="22"/>
                <w:szCs w:val="22"/>
              </w:rPr>
            </w:pPr>
            <w:r w:rsidRPr="00372EFF">
              <w:rPr>
                <w:rFonts w:eastAsia="Batang"/>
                <w:color w:val="000000"/>
                <w:sz w:val="22"/>
                <w:szCs w:val="22"/>
              </w:rPr>
              <w:t xml:space="preserve">Note: On UE side, no UE capability will be introduced for this purpose. </w:t>
            </w:r>
          </w:p>
          <w:p w14:paraId="2045C5A2" w14:textId="77777777" w:rsidR="005B6E38" w:rsidRPr="00372EFF" w:rsidRDefault="005B6E38" w:rsidP="005B6E38">
            <w:pPr>
              <w:rPr>
                <w:rFonts w:eastAsia="Batang"/>
                <w:b/>
                <w:bCs/>
                <w:sz w:val="22"/>
                <w:szCs w:val="22"/>
                <w:lang w:eastAsia="x-none"/>
              </w:rPr>
            </w:pPr>
            <w:r w:rsidRPr="00372EFF">
              <w:rPr>
                <w:rFonts w:eastAsia="Batang"/>
                <w:b/>
                <w:bCs/>
                <w:sz w:val="22"/>
                <w:szCs w:val="22"/>
                <w:highlight w:val="green"/>
                <w:lang w:eastAsia="x-none"/>
              </w:rPr>
              <w:lastRenderedPageBreak/>
              <w:t xml:space="preserve">Agreement </w:t>
            </w:r>
            <w:r w:rsidRPr="00372EFF">
              <w:rPr>
                <w:rFonts w:eastAsia="Batang"/>
                <w:b/>
                <w:bCs/>
                <w:sz w:val="22"/>
                <w:szCs w:val="22"/>
                <w:lang w:eastAsia="x-none"/>
              </w:rPr>
              <w:t>(TDM Case)</w:t>
            </w:r>
          </w:p>
          <w:p w14:paraId="2FBB8B41" w14:textId="77777777" w:rsidR="005B6E38" w:rsidRPr="00372EFF" w:rsidRDefault="005B6E38" w:rsidP="005B6E38">
            <w:pPr>
              <w:rPr>
                <w:rFonts w:eastAsia="Batang"/>
                <w:sz w:val="22"/>
                <w:szCs w:val="22"/>
                <w:lang w:eastAsia="ja-JP"/>
              </w:rPr>
            </w:pPr>
            <w:r w:rsidRPr="00372EFF">
              <w:rPr>
                <w:rFonts w:eastAsia="Batang"/>
                <w:sz w:val="22"/>
                <w:szCs w:val="22"/>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48DA0751" w14:textId="77777777" w:rsidR="005B6E38" w:rsidRPr="00372EFF" w:rsidRDefault="005B6E38" w:rsidP="005B6E38">
            <w:pPr>
              <w:numPr>
                <w:ilvl w:val="0"/>
                <w:numId w:val="8"/>
              </w:numPr>
              <w:autoSpaceDE/>
              <w:autoSpaceDN/>
              <w:adjustRightInd/>
              <w:snapToGrid w:val="0"/>
              <w:spacing w:after="0" w:line="252" w:lineRule="auto"/>
              <w:jc w:val="left"/>
              <w:textAlignment w:val="auto"/>
              <w:rPr>
                <w:rFonts w:eastAsia="Times New Roman"/>
                <w:sz w:val="22"/>
                <w:szCs w:val="22"/>
                <w:lang w:val="en-GB" w:eastAsia="ko-KR"/>
              </w:rPr>
            </w:pPr>
            <w:r w:rsidRPr="00372EFF">
              <w:rPr>
                <w:rFonts w:eastAsia="Times New Roman"/>
                <w:sz w:val="22"/>
                <w:szCs w:val="22"/>
                <w:lang w:eastAsia="ko-KR"/>
              </w:rPr>
              <w:t>Alt 2 from previous agreement: Independent per-beam LBT sensing at the start of COT is performed for beams used in the COT</w:t>
            </w:r>
          </w:p>
          <w:p w14:paraId="6F578BEF" w14:textId="77777777" w:rsidR="005B6E38" w:rsidRPr="00372EFF" w:rsidRDefault="005B6E38" w:rsidP="005B6E38">
            <w:pPr>
              <w:numPr>
                <w:ilvl w:val="0"/>
                <w:numId w:val="8"/>
              </w:numPr>
              <w:autoSpaceDE/>
              <w:autoSpaceDN/>
              <w:adjustRightInd/>
              <w:snapToGrid w:val="0"/>
              <w:spacing w:after="0" w:line="252" w:lineRule="auto"/>
              <w:jc w:val="left"/>
              <w:textAlignment w:val="auto"/>
              <w:rPr>
                <w:rFonts w:eastAsia="Times New Roman"/>
                <w:sz w:val="22"/>
                <w:szCs w:val="22"/>
                <w:lang w:eastAsia="ko-KR"/>
              </w:rPr>
            </w:pPr>
            <w:r w:rsidRPr="00372EFF">
              <w:rPr>
                <w:rFonts w:eastAsia="Times New Roman"/>
                <w:sz w:val="22"/>
                <w:szCs w:val="22"/>
                <w:lang w:eastAsia="ko-KR"/>
              </w:rPr>
              <w:t>Alt 3 from previous agreement: Independent per-beam LBT sensing at the start of COT is performed for beams used in the COT with additional requirement on Cat 2 LBT before beam switch</w:t>
            </w:r>
          </w:p>
          <w:p w14:paraId="07023EBD" w14:textId="77777777" w:rsidR="005B6E38" w:rsidRPr="00372EFF" w:rsidRDefault="005B6E38" w:rsidP="005B6E38">
            <w:pPr>
              <w:rPr>
                <w:b/>
                <w:sz w:val="22"/>
                <w:szCs w:val="22"/>
                <w:lang w:val="en-GB"/>
              </w:rPr>
            </w:pPr>
            <w:r w:rsidRPr="00372EFF">
              <w:rPr>
                <w:b/>
                <w:sz w:val="22"/>
                <w:szCs w:val="22"/>
                <w:highlight w:val="green"/>
                <w:lang w:val="en-GB"/>
              </w:rPr>
              <w:t>Agreement</w:t>
            </w:r>
          </w:p>
          <w:p w14:paraId="7C2D8D55" w14:textId="77777777" w:rsidR="005B6E38" w:rsidRPr="00372EFF" w:rsidRDefault="005B6E38" w:rsidP="005B6E38">
            <w:pPr>
              <w:rPr>
                <w:sz w:val="22"/>
                <w:szCs w:val="22"/>
                <w:lang w:val="en-GB"/>
              </w:rPr>
            </w:pPr>
            <w:r w:rsidRPr="00372EFF">
              <w:rPr>
                <w:sz w:val="22"/>
                <w:szCs w:val="22"/>
                <w:lang w:val="en-GB"/>
              </w:rPr>
              <w:t xml:space="preserve">When independent per-beam LBT sensing is performed at </w:t>
            </w:r>
            <w:proofErr w:type="spellStart"/>
            <w:r w:rsidRPr="00372EFF">
              <w:rPr>
                <w:sz w:val="22"/>
                <w:szCs w:val="22"/>
                <w:lang w:val="en-GB"/>
              </w:rPr>
              <w:t>gNB</w:t>
            </w:r>
            <w:proofErr w:type="spellEnd"/>
            <w:r w:rsidRPr="00372EFF">
              <w:rPr>
                <w:sz w:val="22"/>
                <w:szCs w:val="22"/>
                <w:lang w:val="en-GB"/>
              </w:rPr>
              <w:t xml:space="preserve">, a transmission is allowed to occur on a beam if the corresponding LBT procedure has been successful before the channel occupancy start time. </w:t>
            </w:r>
          </w:p>
          <w:p w14:paraId="1A49AD60" w14:textId="77777777" w:rsidR="00D95BD0" w:rsidRDefault="005B6E38" w:rsidP="00D95BD0">
            <w:pPr>
              <w:numPr>
                <w:ilvl w:val="0"/>
                <w:numId w:val="10"/>
              </w:numPr>
              <w:overflowPunct/>
              <w:snapToGrid w:val="0"/>
              <w:textAlignment w:val="auto"/>
              <w:rPr>
                <w:sz w:val="22"/>
                <w:szCs w:val="22"/>
                <w:lang w:val="en-GB"/>
              </w:rPr>
            </w:pPr>
            <w:r w:rsidRPr="00372EFF">
              <w:rPr>
                <w:sz w:val="22"/>
                <w:szCs w:val="22"/>
                <w:lang w:val="en-GB"/>
              </w:rPr>
              <w:t>Note: For multi-beam transmission, channel occupancy start time corresponding to all Tx beams is aligned</w:t>
            </w:r>
            <w:r w:rsidRPr="00D95BD0">
              <w:rPr>
                <w:sz w:val="22"/>
                <w:szCs w:val="22"/>
                <w:lang w:val="en-GB"/>
              </w:rPr>
              <w:t xml:space="preserve">. </w:t>
            </w:r>
          </w:p>
          <w:p w14:paraId="423DDC42" w14:textId="1B86B7E6" w:rsidR="005B6E38" w:rsidRPr="00D95BD0" w:rsidRDefault="005B6E38" w:rsidP="00D95BD0">
            <w:pPr>
              <w:numPr>
                <w:ilvl w:val="0"/>
                <w:numId w:val="10"/>
              </w:numPr>
              <w:overflowPunct/>
              <w:snapToGrid w:val="0"/>
              <w:textAlignment w:val="auto"/>
              <w:rPr>
                <w:sz w:val="22"/>
                <w:szCs w:val="22"/>
                <w:lang w:val="en-GB"/>
              </w:rPr>
            </w:pPr>
            <w:r w:rsidRPr="00D95BD0">
              <w:rPr>
                <w:sz w:val="22"/>
                <w:szCs w:val="22"/>
                <w:lang w:val="en-GB"/>
              </w:rPr>
              <w:t>FFS: When independent per-beam LBT sensing is performed at UE</w:t>
            </w:r>
          </w:p>
        </w:tc>
      </w:tr>
    </w:tbl>
    <w:p w14:paraId="245B34A5" w14:textId="2BB6AB72" w:rsidR="005B6E38" w:rsidRDefault="005B6E38" w:rsidP="00E56BA3">
      <w:pPr>
        <w:jc w:val="both"/>
        <w:rPr>
          <w:b/>
          <w:bCs/>
          <w:szCs w:val="22"/>
        </w:rPr>
      </w:pPr>
    </w:p>
    <w:p w14:paraId="26BD4C16" w14:textId="0892F94A" w:rsidR="00DA4CBD" w:rsidRPr="003011A7" w:rsidRDefault="00DA4CBD" w:rsidP="00DA4CBD">
      <w:pPr>
        <w:spacing w:line="276" w:lineRule="auto"/>
        <w:jc w:val="both"/>
        <w:rPr>
          <w:szCs w:val="22"/>
        </w:rPr>
      </w:pPr>
      <w:r>
        <w:rPr>
          <w:szCs w:val="22"/>
        </w:rPr>
        <w:t>While all the details related to the calculation of the EDT threshold have been discussed, a</w:t>
      </w:r>
      <w:r w:rsidRPr="003011A7">
        <w:rPr>
          <w:szCs w:val="22"/>
        </w:rPr>
        <w:t>s f</w:t>
      </w:r>
      <w:r>
        <w:rPr>
          <w:szCs w:val="22"/>
        </w:rPr>
        <w:t>or the definition of Pout, the following agreements have been made during the prior RAN1 meetings:</w:t>
      </w:r>
    </w:p>
    <w:tbl>
      <w:tblPr>
        <w:tblStyle w:val="TableGrid"/>
        <w:tblW w:w="0" w:type="auto"/>
        <w:tblLook w:val="04A0" w:firstRow="1" w:lastRow="0" w:firstColumn="1" w:lastColumn="0" w:noHBand="0" w:noVBand="1"/>
      </w:tblPr>
      <w:tblGrid>
        <w:gridCol w:w="9962"/>
      </w:tblGrid>
      <w:tr w:rsidR="00DA4CBD" w14:paraId="328A8212" w14:textId="77777777" w:rsidTr="002D4DD4">
        <w:tc>
          <w:tcPr>
            <w:tcW w:w="9962" w:type="dxa"/>
          </w:tcPr>
          <w:p w14:paraId="471CA3B6" w14:textId="77777777" w:rsidR="00DA4CBD" w:rsidRPr="00FE1D05" w:rsidRDefault="00DA4CBD" w:rsidP="002D4DD4">
            <w:pPr>
              <w:spacing w:after="0"/>
              <w:rPr>
                <w:sz w:val="22"/>
                <w:szCs w:val="22"/>
                <w:lang w:eastAsia="x-none"/>
              </w:rPr>
            </w:pPr>
            <w:r w:rsidRPr="00FE1D05">
              <w:rPr>
                <w:sz w:val="22"/>
                <w:szCs w:val="22"/>
                <w:highlight w:val="darkYellow"/>
                <w:lang w:eastAsia="x-none"/>
              </w:rPr>
              <w:t>Working assumption:</w:t>
            </w:r>
          </w:p>
          <w:p w14:paraId="30C14E0A" w14:textId="77777777" w:rsidR="00DA4CBD" w:rsidRPr="00FE1D05" w:rsidRDefault="00DA4CBD" w:rsidP="002D4DD4">
            <w:pPr>
              <w:spacing w:before="0" w:after="0"/>
              <w:rPr>
                <w:sz w:val="22"/>
                <w:szCs w:val="22"/>
              </w:rPr>
            </w:pPr>
            <w:r w:rsidRPr="00FE1D05">
              <w:rPr>
                <w:sz w:val="22"/>
                <w:szCs w:val="22"/>
              </w:rPr>
              <w:t>For Pout in EDT determination, define Pout as the maximum EIRP of the node determining EDT during a COT.</w:t>
            </w:r>
          </w:p>
          <w:p w14:paraId="02DBB612" w14:textId="77777777" w:rsidR="00DA4CBD" w:rsidRPr="00FE1D05" w:rsidRDefault="00DA4CBD" w:rsidP="002D4DD4">
            <w:pPr>
              <w:spacing w:before="0" w:after="0"/>
              <w:rPr>
                <w:b/>
                <w:bCs/>
                <w:sz w:val="22"/>
                <w:szCs w:val="22"/>
                <w:highlight w:val="green"/>
                <w:lang w:eastAsia="x-none"/>
              </w:rPr>
            </w:pPr>
          </w:p>
          <w:p w14:paraId="41E47B40" w14:textId="77777777" w:rsidR="00DA4CBD" w:rsidRPr="00FE1D05" w:rsidRDefault="00DA4CBD" w:rsidP="002D4DD4">
            <w:pPr>
              <w:spacing w:before="0" w:after="0"/>
              <w:rPr>
                <w:b/>
                <w:bCs/>
                <w:sz w:val="22"/>
                <w:szCs w:val="22"/>
                <w:highlight w:val="green"/>
                <w:lang w:eastAsia="x-none"/>
              </w:rPr>
            </w:pPr>
            <w:r w:rsidRPr="00FE1D05">
              <w:rPr>
                <w:b/>
                <w:bCs/>
                <w:sz w:val="22"/>
                <w:szCs w:val="22"/>
                <w:highlight w:val="green"/>
                <w:lang w:eastAsia="x-none"/>
              </w:rPr>
              <w:t>Agreement</w:t>
            </w:r>
          </w:p>
          <w:p w14:paraId="75590E41" w14:textId="77777777" w:rsidR="00DA4CBD" w:rsidRPr="00FE1D05" w:rsidRDefault="00DA4CBD" w:rsidP="002D4DD4">
            <w:pPr>
              <w:spacing w:before="0" w:after="0"/>
              <w:rPr>
                <w:sz w:val="22"/>
                <w:szCs w:val="22"/>
              </w:rPr>
            </w:pPr>
            <w:r w:rsidRPr="00FE1D05">
              <w:rPr>
                <w:sz w:val="22"/>
                <w:szCs w:val="22"/>
              </w:rPr>
              <w:t xml:space="preserve">Confirm the WA with some </w:t>
            </w:r>
            <w:r w:rsidRPr="00FE1D05">
              <w:rPr>
                <w:color w:val="FF0000"/>
                <w:sz w:val="22"/>
                <w:szCs w:val="22"/>
              </w:rPr>
              <w:t>clarifications</w:t>
            </w:r>
          </w:p>
          <w:p w14:paraId="7484D9CF" w14:textId="77777777" w:rsidR="00DA4CBD" w:rsidRPr="00FE1D05" w:rsidRDefault="00DA4CBD" w:rsidP="002D4DD4">
            <w:pPr>
              <w:spacing w:before="0" w:after="0"/>
              <w:rPr>
                <w:sz w:val="22"/>
                <w:szCs w:val="22"/>
                <w:lang w:eastAsia="ja-JP"/>
              </w:rPr>
            </w:pPr>
            <w:r w:rsidRPr="00FE1D05">
              <w:rPr>
                <w:sz w:val="22"/>
                <w:szCs w:val="22"/>
                <w:highlight w:val="darkYellow"/>
                <w:lang w:eastAsia="ja-JP"/>
              </w:rPr>
              <w:t>Working assumption:</w:t>
            </w:r>
          </w:p>
          <w:p w14:paraId="27A4C054" w14:textId="77777777" w:rsidR="00DA4CBD" w:rsidRPr="00FE1D05" w:rsidRDefault="00DA4CBD" w:rsidP="002D4DD4">
            <w:pPr>
              <w:pStyle w:val="ListParagraph"/>
              <w:numPr>
                <w:ilvl w:val="0"/>
                <w:numId w:val="4"/>
              </w:numPr>
              <w:overflowPunct w:val="0"/>
              <w:snapToGrid w:val="0"/>
              <w:spacing w:before="0" w:line="252" w:lineRule="auto"/>
              <w:rPr>
                <w:rFonts w:ascii="Times New Roman" w:eastAsia="Times New Roman" w:hAnsi="Times New Roman"/>
                <w:sz w:val="22"/>
                <w:lang w:eastAsia="ko-KR"/>
              </w:rPr>
            </w:pPr>
            <w:r w:rsidRPr="00FE1D05">
              <w:rPr>
                <w:rFonts w:ascii="Times New Roman" w:eastAsia="Times New Roman" w:hAnsi="Times New Roman"/>
                <w:sz w:val="22"/>
                <w:lang w:eastAsia="ko-KR"/>
              </w:rPr>
              <w:t xml:space="preserve">For Pout in EDT determination, define Pout as the maximum EIRP of </w:t>
            </w:r>
            <w:r w:rsidRPr="00FE1D05">
              <w:rPr>
                <w:rFonts w:ascii="Times New Roman" w:eastAsia="Times New Roman" w:hAnsi="Times New Roman"/>
                <w:color w:val="FF0000"/>
                <w:sz w:val="22"/>
                <w:lang w:eastAsia="ko-KR"/>
              </w:rPr>
              <w:t>the intended transmissions</w:t>
            </w:r>
            <w:r w:rsidRPr="00FE1D05">
              <w:rPr>
                <w:rFonts w:ascii="Times New Roman" w:eastAsia="Times New Roman" w:hAnsi="Times New Roman"/>
                <w:sz w:val="22"/>
                <w:lang w:eastAsia="ko-KR"/>
              </w:rPr>
              <w:t xml:space="preserve"> </w:t>
            </w:r>
            <w:r w:rsidRPr="00FE1D05">
              <w:rPr>
                <w:rFonts w:ascii="Times New Roman" w:eastAsia="Times New Roman" w:hAnsi="Times New Roman"/>
                <w:color w:val="FF0000"/>
                <w:sz w:val="22"/>
                <w:lang w:eastAsia="ko-KR"/>
              </w:rPr>
              <w:t>by</w:t>
            </w:r>
            <w:r w:rsidRPr="00FE1D05">
              <w:rPr>
                <w:rFonts w:ascii="Times New Roman" w:eastAsia="Times New Roman" w:hAnsi="Times New Roman"/>
                <w:sz w:val="22"/>
                <w:lang w:eastAsia="ko-KR"/>
              </w:rPr>
              <w:t xml:space="preserve"> the node determining EDT during a COT.</w:t>
            </w:r>
          </w:p>
          <w:p w14:paraId="7673202B" w14:textId="77777777" w:rsidR="00DA4CBD" w:rsidRPr="00FE1D05" w:rsidRDefault="00DA4CBD" w:rsidP="002D4DD4">
            <w:pPr>
              <w:pStyle w:val="ListParagraph"/>
              <w:numPr>
                <w:ilvl w:val="1"/>
                <w:numId w:val="4"/>
              </w:numPr>
              <w:overflowPunct w:val="0"/>
              <w:snapToGrid w:val="0"/>
              <w:spacing w:before="0" w:line="252" w:lineRule="auto"/>
              <w:rPr>
                <w:rFonts w:ascii="Times New Roman" w:eastAsia="Times New Roman" w:hAnsi="Times New Roman"/>
                <w:color w:val="FF0000"/>
                <w:sz w:val="22"/>
                <w:lang w:eastAsia="ko-KR"/>
              </w:rPr>
            </w:pPr>
            <w:r w:rsidRPr="00FE1D05">
              <w:rPr>
                <w:rFonts w:ascii="Times New Roman" w:eastAsia="Times New Roman" w:hAnsi="Times New Roman"/>
                <w:color w:val="FF0000"/>
                <w:sz w:val="22"/>
                <w:lang w:eastAsia="ko-KR"/>
              </w:rPr>
              <w:t>The node is not expected to transmit in the COT with higher Pout than the Pout used to determine the EDT used to acquire the COT</w:t>
            </w:r>
          </w:p>
          <w:p w14:paraId="39A600AA" w14:textId="77777777" w:rsidR="00DA4CBD" w:rsidRPr="00FE1D05" w:rsidRDefault="00DA4CBD" w:rsidP="002D4DD4">
            <w:pPr>
              <w:spacing w:before="0" w:after="0"/>
              <w:rPr>
                <w:b/>
                <w:bCs/>
                <w:sz w:val="22"/>
                <w:szCs w:val="22"/>
                <w:highlight w:val="green"/>
                <w:lang w:eastAsia="x-none"/>
              </w:rPr>
            </w:pPr>
          </w:p>
          <w:p w14:paraId="30745B17" w14:textId="77777777" w:rsidR="00DA4CBD" w:rsidRPr="00FE1D05" w:rsidRDefault="00DA4CBD" w:rsidP="002D4DD4">
            <w:pPr>
              <w:spacing w:before="0" w:after="0"/>
              <w:rPr>
                <w:b/>
                <w:bCs/>
                <w:sz w:val="22"/>
                <w:szCs w:val="22"/>
                <w:highlight w:val="green"/>
                <w:lang w:eastAsia="x-none"/>
              </w:rPr>
            </w:pPr>
            <w:r w:rsidRPr="00FE1D05">
              <w:rPr>
                <w:b/>
                <w:bCs/>
                <w:sz w:val="22"/>
                <w:szCs w:val="22"/>
                <w:highlight w:val="green"/>
                <w:lang w:eastAsia="x-none"/>
              </w:rPr>
              <w:t>Agreement</w:t>
            </w:r>
          </w:p>
          <w:p w14:paraId="7AD75951" w14:textId="77777777" w:rsidR="00DA4CBD" w:rsidRDefault="00DA4CBD" w:rsidP="002D4DD4">
            <w:pPr>
              <w:spacing w:before="0" w:after="0"/>
              <w:rPr>
                <w:b/>
                <w:bCs/>
                <w:szCs w:val="22"/>
              </w:rPr>
            </w:pPr>
            <w:r w:rsidRPr="00FE1D05">
              <w:rPr>
                <w:sz w:val="22"/>
                <w:szCs w:val="22"/>
                <w:lang w:eastAsia="ja-JP"/>
              </w:rPr>
              <w:t xml:space="preserve">For </w:t>
            </w:r>
            <w:proofErr w:type="spellStart"/>
            <w:r w:rsidRPr="00FE1D05">
              <w:rPr>
                <w:sz w:val="22"/>
                <w:szCs w:val="22"/>
                <w:lang w:eastAsia="ja-JP"/>
              </w:rPr>
              <w:t>gNB</w:t>
            </w:r>
            <w:proofErr w:type="spellEnd"/>
            <w:r w:rsidRPr="00FE1D05">
              <w:rPr>
                <w:sz w:val="22"/>
                <w:szCs w:val="22"/>
                <w:lang w:eastAsia="ja-JP"/>
              </w:rPr>
              <w:t xml:space="preserve"> initiated COT, for Pout in EDT determination at the initiating device (</w:t>
            </w:r>
            <w:proofErr w:type="spellStart"/>
            <w:r w:rsidRPr="00FE1D05">
              <w:rPr>
                <w:sz w:val="22"/>
                <w:szCs w:val="22"/>
                <w:lang w:eastAsia="ja-JP"/>
              </w:rPr>
              <w:t>gNB</w:t>
            </w:r>
            <w:proofErr w:type="spellEnd"/>
            <w:r w:rsidRPr="00FE1D05">
              <w:rPr>
                <w:sz w:val="22"/>
                <w:szCs w:val="22"/>
                <w:lang w:eastAsia="ja-JP"/>
              </w:rPr>
              <w:t>), the Pout of the responding device (UE) is not considered</w:t>
            </w:r>
          </w:p>
        </w:tc>
      </w:tr>
    </w:tbl>
    <w:p w14:paraId="06ACB9F2" w14:textId="77777777" w:rsidR="00DA4CBD" w:rsidRDefault="00DA4CBD" w:rsidP="00DA4CBD">
      <w:pPr>
        <w:jc w:val="both"/>
        <w:rPr>
          <w:b/>
          <w:bCs/>
          <w:szCs w:val="22"/>
        </w:rPr>
      </w:pPr>
    </w:p>
    <w:p w14:paraId="1DB90005" w14:textId="500199F3" w:rsidR="0016387F" w:rsidRDefault="00E56BA3" w:rsidP="00330055">
      <w:pPr>
        <w:jc w:val="both"/>
        <w:rPr>
          <w:lang w:eastAsia="ja-JP"/>
        </w:rPr>
      </w:pPr>
      <w:r w:rsidRPr="009309DC">
        <w:rPr>
          <w:lang w:eastAsia="ja-JP"/>
        </w:rPr>
        <w:t>However,</w:t>
      </w:r>
      <w:r>
        <w:rPr>
          <w:lang w:eastAsia="ja-JP"/>
        </w:rPr>
        <w:t xml:space="preserve"> in case an initiating device may perform a per-beam LBT procedure</w:t>
      </w:r>
      <w:r w:rsidR="00C9368C">
        <w:rPr>
          <w:lang w:eastAsia="ja-JP"/>
        </w:rPr>
        <w:t xml:space="preserve">, </w:t>
      </w:r>
      <w:r>
        <w:rPr>
          <w:lang w:eastAsia="ja-JP"/>
        </w:rPr>
        <w:t xml:space="preserve">it is not yet clear how the Pout is calculated in case the maximum EIRP in different beams may be different. </w:t>
      </w:r>
      <w:r w:rsidR="00A95C8A">
        <w:rPr>
          <w:lang w:eastAsia="ja-JP"/>
        </w:rPr>
        <w:t>It is in fact important to note that</w:t>
      </w:r>
      <w:r w:rsidR="00213E66">
        <w:rPr>
          <w:lang w:eastAsia="ja-JP"/>
        </w:rPr>
        <w:t xml:space="preserve"> </w:t>
      </w:r>
      <w:r w:rsidR="001E6C7F">
        <w:rPr>
          <w:lang w:eastAsia="ja-JP"/>
        </w:rPr>
        <w:t xml:space="preserve">based on how Pout </w:t>
      </w:r>
      <w:r w:rsidR="00845C64">
        <w:rPr>
          <w:lang w:eastAsia="ja-JP"/>
        </w:rPr>
        <w:t xml:space="preserve">is </w:t>
      </w:r>
      <w:r w:rsidR="00516195">
        <w:rPr>
          <w:lang w:eastAsia="ja-JP"/>
        </w:rPr>
        <w:t>interpreted,</w:t>
      </w:r>
      <w:r w:rsidR="00845C64">
        <w:rPr>
          <w:lang w:eastAsia="ja-JP"/>
        </w:rPr>
        <w:t xml:space="preserve"> and which Pout is used may impact on whether the per-beam LBT sensing may either succeed or fail</w:t>
      </w:r>
      <w:r w:rsidR="00951B9E">
        <w:rPr>
          <w:lang w:eastAsia="ja-JP"/>
        </w:rPr>
        <w:t xml:space="preserve">, and correspondently on whether a transmission may or may not occur over a specific beam. </w:t>
      </w:r>
    </w:p>
    <w:p w14:paraId="6EFA6827" w14:textId="2BF307E9" w:rsidR="00516195" w:rsidRDefault="00516195" w:rsidP="00330055">
      <w:pPr>
        <w:jc w:val="both"/>
        <w:rPr>
          <w:rFonts w:eastAsia="DengXian" w:cs="Times"/>
          <w:bCs/>
          <w:kern w:val="32"/>
          <w:lang w:eastAsia="zh-CN"/>
        </w:rPr>
      </w:pPr>
      <w:r>
        <w:rPr>
          <w:rFonts w:eastAsia="DengXian" w:cs="Times"/>
          <w:bCs/>
          <w:kern w:val="32"/>
          <w:lang w:eastAsia="zh-CN"/>
        </w:rPr>
        <w:t>In this case two possible interpretation</w:t>
      </w:r>
      <w:r w:rsidR="005A6428">
        <w:rPr>
          <w:rFonts w:eastAsia="DengXian" w:cs="Times"/>
          <w:bCs/>
          <w:kern w:val="32"/>
          <w:lang w:eastAsia="zh-CN"/>
        </w:rPr>
        <w:t>s</w:t>
      </w:r>
      <w:r>
        <w:rPr>
          <w:rFonts w:eastAsia="DengXian" w:cs="Times"/>
          <w:bCs/>
          <w:kern w:val="32"/>
          <w:lang w:eastAsia="zh-CN"/>
        </w:rPr>
        <w:t xml:space="preserve"> are possible: </w:t>
      </w:r>
    </w:p>
    <w:p w14:paraId="111AC98B" w14:textId="31DB889A" w:rsidR="00070B04" w:rsidRDefault="00951B9E" w:rsidP="00330055">
      <w:pPr>
        <w:pStyle w:val="ListParagraph"/>
        <w:numPr>
          <w:ilvl w:val="0"/>
          <w:numId w:val="11"/>
        </w:numPr>
        <w:jc w:val="both"/>
        <w:rPr>
          <w:rFonts w:ascii="Times New Roman" w:eastAsia="DengXian" w:hAnsi="Times New Roman" w:cs="Times"/>
          <w:bCs/>
          <w:kern w:val="32"/>
          <w:szCs w:val="20"/>
          <w:lang w:eastAsia="zh-CN"/>
        </w:rPr>
      </w:pPr>
      <w:r>
        <w:rPr>
          <w:rFonts w:ascii="Times New Roman" w:eastAsia="DengXian" w:hAnsi="Times New Roman" w:cs="Times"/>
          <w:bCs/>
          <w:kern w:val="32"/>
          <w:szCs w:val="20"/>
          <w:lang w:eastAsia="zh-CN"/>
        </w:rPr>
        <w:t xml:space="preserve">Option 1: </w:t>
      </w:r>
      <w:r w:rsidR="008D655C">
        <w:rPr>
          <w:rFonts w:ascii="Times New Roman" w:eastAsia="DengXian" w:hAnsi="Times New Roman" w:cs="Times"/>
          <w:bCs/>
          <w:kern w:val="32"/>
          <w:szCs w:val="20"/>
          <w:lang w:eastAsia="zh-CN"/>
        </w:rPr>
        <w:t xml:space="preserve">The </w:t>
      </w:r>
      <w:r w:rsidR="00516195">
        <w:rPr>
          <w:rFonts w:ascii="Times New Roman" w:eastAsia="DengXian" w:hAnsi="Times New Roman" w:cs="Times"/>
          <w:bCs/>
          <w:kern w:val="32"/>
          <w:szCs w:val="20"/>
          <w:lang w:eastAsia="zh-CN"/>
        </w:rPr>
        <w:t xml:space="preserve">Pout used </w:t>
      </w:r>
      <w:r w:rsidR="007D4ECF">
        <w:rPr>
          <w:rFonts w:ascii="Times New Roman" w:eastAsia="DengXian" w:hAnsi="Times New Roman" w:cs="Times"/>
          <w:bCs/>
          <w:kern w:val="32"/>
          <w:szCs w:val="20"/>
          <w:lang w:eastAsia="zh-CN"/>
        </w:rPr>
        <w:t xml:space="preserve">in the EDT threshold calculation is </w:t>
      </w:r>
      <w:r w:rsidR="00A670C1" w:rsidRPr="00516195">
        <w:rPr>
          <w:rFonts w:ascii="Times New Roman" w:eastAsia="DengXian" w:hAnsi="Times New Roman" w:cs="Times"/>
          <w:bCs/>
          <w:kern w:val="32"/>
          <w:szCs w:val="20"/>
          <w:lang w:eastAsia="zh-CN"/>
        </w:rPr>
        <w:t xml:space="preserve">the largest Pout of all intended transmissions for that COT. </w:t>
      </w:r>
    </w:p>
    <w:p w14:paraId="4538CA59" w14:textId="01B82973" w:rsidR="00070B04" w:rsidRPr="00070B04" w:rsidRDefault="00070B04" w:rsidP="00330055">
      <w:pPr>
        <w:pStyle w:val="ListParagraph"/>
        <w:numPr>
          <w:ilvl w:val="0"/>
          <w:numId w:val="11"/>
        </w:numPr>
        <w:jc w:val="both"/>
        <w:rPr>
          <w:rFonts w:ascii="Times New Roman" w:eastAsia="DengXian" w:hAnsi="Times New Roman" w:cs="Times"/>
          <w:bCs/>
          <w:kern w:val="32"/>
          <w:szCs w:val="20"/>
          <w:lang w:eastAsia="zh-CN"/>
        </w:rPr>
      </w:pPr>
      <w:r w:rsidRPr="00070B04">
        <w:rPr>
          <w:rFonts w:ascii="Times New Roman" w:eastAsia="DengXian" w:hAnsi="Times New Roman" w:cs="Times"/>
          <w:bCs/>
          <w:kern w:val="32"/>
          <w:szCs w:val="20"/>
          <w:lang w:eastAsia="zh-CN"/>
        </w:rPr>
        <w:t>The EDT threshold is calculated independently per-beam and Pout is the maximum EIRP of the intended transmissions “covered” by the sensing beam by the node determining EDT during the COT.</w:t>
      </w:r>
    </w:p>
    <w:p w14:paraId="1BE62776" w14:textId="77777777" w:rsidR="00070B04" w:rsidRDefault="00070B04" w:rsidP="00330055">
      <w:pPr>
        <w:pStyle w:val="ListParagraph"/>
        <w:jc w:val="both"/>
        <w:rPr>
          <w:rFonts w:ascii="Times New Roman" w:eastAsia="DengXian" w:hAnsi="Times New Roman" w:cs="Times"/>
          <w:bCs/>
          <w:kern w:val="32"/>
          <w:szCs w:val="20"/>
          <w:lang w:eastAsia="zh-CN"/>
        </w:rPr>
      </w:pPr>
    </w:p>
    <w:p w14:paraId="5D6933A3" w14:textId="46C3C124" w:rsidR="00E56BA3" w:rsidRPr="009309DC" w:rsidRDefault="004354AF" w:rsidP="00330055">
      <w:pPr>
        <w:jc w:val="both"/>
        <w:rPr>
          <w:lang w:eastAsia="ja-JP"/>
        </w:rPr>
      </w:pPr>
      <w:r>
        <w:rPr>
          <w:rFonts w:eastAsia="DengXian" w:cs="Times"/>
          <w:bCs/>
          <w:kern w:val="32"/>
          <w:lang w:eastAsia="zh-CN"/>
        </w:rPr>
        <w:t>While the first interpretation leads to a simple</w:t>
      </w:r>
      <w:r w:rsidR="00AB44CE">
        <w:rPr>
          <w:rFonts w:eastAsia="DengXian" w:cs="Times"/>
          <w:bCs/>
          <w:kern w:val="32"/>
          <w:lang w:eastAsia="zh-CN"/>
        </w:rPr>
        <w:t>r</w:t>
      </w:r>
      <w:r>
        <w:rPr>
          <w:rFonts w:eastAsia="DengXian" w:cs="Times"/>
          <w:bCs/>
          <w:kern w:val="32"/>
          <w:lang w:eastAsia="zh-CN"/>
        </w:rPr>
        <w:t xml:space="preserve"> solution, </w:t>
      </w:r>
      <w:r w:rsidR="002514FD">
        <w:rPr>
          <w:rFonts w:eastAsia="DengXian" w:cs="Times"/>
          <w:bCs/>
          <w:kern w:val="32"/>
          <w:lang w:eastAsia="zh-CN"/>
        </w:rPr>
        <w:t xml:space="preserve">this may </w:t>
      </w:r>
      <w:r w:rsidR="00D10BFA">
        <w:rPr>
          <w:rFonts w:eastAsia="DengXian" w:cs="Times"/>
          <w:bCs/>
          <w:kern w:val="32"/>
          <w:lang w:eastAsia="zh-CN"/>
        </w:rPr>
        <w:t xml:space="preserve">also </w:t>
      </w:r>
      <w:r w:rsidR="002514FD">
        <w:rPr>
          <w:rFonts w:eastAsia="DengXian" w:cs="Times"/>
          <w:bCs/>
          <w:kern w:val="32"/>
          <w:lang w:eastAsia="zh-CN"/>
        </w:rPr>
        <w:t xml:space="preserve">lead to </w:t>
      </w:r>
      <w:r w:rsidR="00754F25">
        <w:rPr>
          <w:rFonts w:eastAsia="DengXian" w:cs="Times"/>
          <w:bCs/>
          <w:kern w:val="32"/>
          <w:lang w:eastAsia="zh-CN"/>
        </w:rPr>
        <w:t xml:space="preserve">unwanted sensing failures and </w:t>
      </w:r>
      <w:r w:rsidR="00381BC8">
        <w:rPr>
          <w:rFonts w:eastAsia="DengXian" w:cs="Times"/>
          <w:bCs/>
          <w:kern w:val="32"/>
          <w:lang w:eastAsia="zh-CN"/>
        </w:rPr>
        <w:t xml:space="preserve">an over pessimistic per-beam sensing, since the largest Pout </w:t>
      </w:r>
      <w:r w:rsidR="004E42E6">
        <w:rPr>
          <w:rFonts w:eastAsia="DengXian" w:cs="Times"/>
          <w:bCs/>
          <w:kern w:val="32"/>
          <w:lang w:eastAsia="zh-CN"/>
        </w:rPr>
        <w:t>among all intended transmission</w:t>
      </w:r>
      <w:r w:rsidR="008A3BAE">
        <w:rPr>
          <w:rFonts w:eastAsia="DengXian" w:cs="Times"/>
          <w:bCs/>
          <w:kern w:val="32"/>
          <w:lang w:eastAsia="zh-CN"/>
        </w:rPr>
        <w:t>s</w:t>
      </w:r>
      <w:r w:rsidR="004E42E6">
        <w:rPr>
          <w:rFonts w:eastAsia="DengXian" w:cs="Times"/>
          <w:bCs/>
          <w:kern w:val="32"/>
          <w:lang w:eastAsia="zh-CN"/>
        </w:rPr>
        <w:t xml:space="preserve"> across beams will be </w:t>
      </w:r>
      <w:r w:rsidR="005822DA">
        <w:rPr>
          <w:rFonts w:eastAsia="DengXian" w:cs="Times"/>
          <w:bCs/>
          <w:kern w:val="32"/>
          <w:lang w:eastAsia="zh-CN"/>
        </w:rPr>
        <w:lastRenderedPageBreak/>
        <w:t xml:space="preserve">always </w:t>
      </w:r>
      <w:r w:rsidR="004E42E6">
        <w:rPr>
          <w:rFonts w:eastAsia="DengXian" w:cs="Times"/>
          <w:bCs/>
          <w:kern w:val="32"/>
          <w:lang w:eastAsia="zh-CN"/>
        </w:rPr>
        <w:t xml:space="preserve">used, </w:t>
      </w:r>
      <w:r w:rsidR="00842465">
        <w:rPr>
          <w:rFonts w:eastAsia="DengXian" w:cs="Times"/>
          <w:bCs/>
          <w:kern w:val="32"/>
          <w:lang w:eastAsia="zh-CN"/>
        </w:rPr>
        <w:t xml:space="preserve">which may </w:t>
      </w:r>
      <w:r w:rsidR="008A3BAE">
        <w:rPr>
          <w:rFonts w:eastAsia="DengXian" w:cs="Times"/>
          <w:bCs/>
          <w:kern w:val="32"/>
          <w:lang w:eastAsia="zh-CN"/>
        </w:rPr>
        <w:t>block</w:t>
      </w:r>
      <w:r w:rsidR="00842465">
        <w:rPr>
          <w:rFonts w:eastAsia="DengXian" w:cs="Times"/>
          <w:bCs/>
          <w:kern w:val="32"/>
          <w:lang w:eastAsia="zh-CN"/>
        </w:rPr>
        <w:t xml:space="preserve"> transmission</w:t>
      </w:r>
      <w:r w:rsidR="00593702">
        <w:rPr>
          <w:rFonts w:eastAsia="DengXian" w:cs="Times"/>
          <w:bCs/>
          <w:kern w:val="32"/>
          <w:lang w:eastAsia="zh-CN"/>
        </w:rPr>
        <w:t>s</w:t>
      </w:r>
      <w:r w:rsidR="00842465">
        <w:rPr>
          <w:rFonts w:eastAsia="DengXian" w:cs="Times"/>
          <w:bCs/>
          <w:kern w:val="32"/>
          <w:lang w:eastAsia="zh-CN"/>
        </w:rPr>
        <w:t xml:space="preserve"> on some </w:t>
      </w:r>
      <w:r w:rsidR="00593702">
        <w:rPr>
          <w:rFonts w:eastAsia="DengXian" w:cs="Times"/>
          <w:bCs/>
          <w:kern w:val="32"/>
          <w:lang w:eastAsia="zh-CN"/>
        </w:rPr>
        <w:t xml:space="preserve">of the </w:t>
      </w:r>
      <w:r w:rsidR="00842465">
        <w:rPr>
          <w:rFonts w:eastAsia="DengXian" w:cs="Times"/>
          <w:bCs/>
          <w:kern w:val="32"/>
          <w:lang w:eastAsia="zh-CN"/>
        </w:rPr>
        <w:t>beams over which sensing will have otherwise succeeded</w:t>
      </w:r>
      <w:r w:rsidR="008C53DB">
        <w:rPr>
          <w:rFonts w:eastAsia="DengXian" w:cs="Times"/>
          <w:bCs/>
          <w:kern w:val="32"/>
          <w:lang w:eastAsia="zh-CN"/>
        </w:rPr>
        <w:t>, and Pout may have been smaller</w:t>
      </w:r>
      <w:r w:rsidR="00842465">
        <w:rPr>
          <w:rFonts w:eastAsia="DengXian" w:cs="Times"/>
          <w:bCs/>
          <w:kern w:val="32"/>
          <w:lang w:eastAsia="zh-CN"/>
        </w:rPr>
        <w:t xml:space="preserve">. </w:t>
      </w:r>
      <w:r w:rsidR="00593702">
        <w:rPr>
          <w:rFonts w:eastAsia="DengXian" w:cs="Times"/>
          <w:bCs/>
          <w:kern w:val="32"/>
          <w:lang w:eastAsia="zh-CN"/>
        </w:rPr>
        <w:t xml:space="preserve">For this reason, we believe that </w:t>
      </w:r>
      <w:r w:rsidR="00E56BA3">
        <w:rPr>
          <w:lang w:eastAsia="ja-JP"/>
        </w:rPr>
        <w:t xml:space="preserve">the Pout should be accounting only for the maximum EIRP in the transmission beams that are covered by that specific sensing </w:t>
      </w:r>
      <w:r w:rsidR="000C7F63">
        <w:rPr>
          <w:lang w:eastAsia="ja-JP"/>
        </w:rPr>
        <w:t>beam and</w:t>
      </w:r>
      <w:r w:rsidR="00E56BA3">
        <w:rPr>
          <w:lang w:eastAsia="ja-JP"/>
        </w:rPr>
        <w:t xml:space="preserve"> should not account for all other beams. </w:t>
      </w:r>
    </w:p>
    <w:p w14:paraId="27EECFEE" w14:textId="6D905FD1" w:rsidR="00E56BA3" w:rsidRDefault="00E56BA3" w:rsidP="00E56BA3">
      <w:pPr>
        <w:jc w:val="both"/>
        <w:rPr>
          <w:b/>
          <w:bCs/>
          <w:szCs w:val="22"/>
        </w:rPr>
      </w:pPr>
      <w:r>
        <w:rPr>
          <w:b/>
          <w:bCs/>
          <w:szCs w:val="22"/>
        </w:rPr>
        <w:t xml:space="preserve">Proposal </w:t>
      </w:r>
      <w:r w:rsidR="003B4E98">
        <w:rPr>
          <w:b/>
          <w:bCs/>
          <w:szCs w:val="22"/>
        </w:rPr>
        <w:t>1</w:t>
      </w:r>
      <w:r>
        <w:rPr>
          <w:b/>
          <w:bCs/>
          <w:szCs w:val="22"/>
        </w:rPr>
        <w:t xml:space="preserve">: </w:t>
      </w:r>
      <w:r w:rsidRPr="004C6232">
        <w:rPr>
          <w:b/>
          <w:bCs/>
          <w:szCs w:val="22"/>
        </w:rPr>
        <w:t xml:space="preserve">For a COT with MU-MIMO (SDM) transmission or TDM transmission of beams with beam switching, when independent per-beam LBT is performed at the start of the COT, </w:t>
      </w:r>
      <w:r>
        <w:rPr>
          <w:b/>
          <w:bCs/>
          <w:szCs w:val="22"/>
        </w:rPr>
        <w:t>define Pout as the maximum EIRP of the intended transmissions “covered” by the sensing beam by the node determining EDT during the COT.</w:t>
      </w:r>
    </w:p>
    <w:p w14:paraId="33F0D98D" w14:textId="21280BF6" w:rsidR="00620A22" w:rsidRPr="00430B51" w:rsidRDefault="00620A22" w:rsidP="00430B51">
      <w:pPr>
        <w:pStyle w:val="ListParagraph"/>
        <w:numPr>
          <w:ilvl w:val="0"/>
          <w:numId w:val="14"/>
        </w:numPr>
        <w:jc w:val="both"/>
        <w:rPr>
          <w:b/>
          <w:bCs/>
        </w:rPr>
      </w:pPr>
      <w:r>
        <w:rPr>
          <w:rFonts w:ascii="Times New Roman" w:hAnsi="Times New Roman"/>
          <w:b/>
          <w:bCs/>
        </w:rPr>
        <w:t>Endorse the draft CR for TS37.</w:t>
      </w:r>
      <w:r w:rsidRPr="001001D3">
        <w:rPr>
          <w:rFonts w:ascii="Times New Roman" w:hAnsi="Times New Roman"/>
          <w:b/>
          <w:bCs/>
        </w:rPr>
        <w:t>213 in R1-22</w:t>
      </w:r>
      <w:r w:rsidR="001001D3" w:rsidRPr="001001D3">
        <w:rPr>
          <w:rFonts w:ascii="Times New Roman" w:hAnsi="Times New Roman"/>
          <w:b/>
          <w:bCs/>
        </w:rPr>
        <w:t>06543</w:t>
      </w:r>
    </w:p>
    <w:p w14:paraId="6CF0CFE7" w14:textId="77777777" w:rsidR="00620A22" w:rsidRPr="004C6232" w:rsidRDefault="00620A22" w:rsidP="00E56BA3">
      <w:pPr>
        <w:jc w:val="both"/>
        <w:rPr>
          <w:b/>
          <w:bCs/>
          <w:szCs w:val="22"/>
        </w:rPr>
      </w:pPr>
    </w:p>
    <w:tbl>
      <w:tblPr>
        <w:tblStyle w:val="TableGrid"/>
        <w:tblW w:w="0" w:type="auto"/>
        <w:tblLook w:val="04A0" w:firstRow="1" w:lastRow="0" w:firstColumn="1" w:lastColumn="0" w:noHBand="0" w:noVBand="1"/>
      </w:tblPr>
      <w:tblGrid>
        <w:gridCol w:w="9962"/>
      </w:tblGrid>
      <w:tr w:rsidR="00BD55E1" w14:paraId="2F9441C4" w14:textId="77777777" w:rsidTr="00BD55E1">
        <w:tc>
          <w:tcPr>
            <w:tcW w:w="9962" w:type="dxa"/>
          </w:tcPr>
          <w:p w14:paraId="4ADD8716" w14:textId="4B77B79D" w:rsidR="00BD55E1" w:rsidRDefault="00BD55E1" w:rsidP="00430B51">
            <w:pPr>
              <w:spacing w:before="0" w:after="0"/>
              <w:rPr>
                <w:b/>
                <w:bCs/>
              </w:rPr>
            </w:pPr>
            <w:r>
              <w:rPr>
                <w:b/>
                <w:bCs/>
              </w:rPr>
              <w:t>TS37.213</w:t>
            </w:r>
          </w:p>
        </w:tc>
      </w:tr>
      <w:tr w:rsidR="00BD55E1" w14:paraId="0B50A068" w14:textId="77777777" w:rsidTr="00BD55E1">
        <w:tc>
          <w:tcPr>
            <w:tcW w:w="9962" w:type="dxa"/>
          </w:tcPr>
          <w:p w14:paraId="6F1400FC" w14:textId="77777777" w:rsidR="00BD55E1" w:rsidRDefault="00BD55E1" w:rsidP="00430B51">
            <w:pPr>
              <w:pStyle w:val="Heading2"/>
              <w:numPr>
                <w:ilvl w:val="0"/>
                <w:numId w:val="0"/>
              </w:numPr>
              <w:spacing w:before="0" w:after="0"/>
              <w:ind w:left="-21"/>
              <w:outlineLvl w:val="1"/>
              <w:rPr>
                <w:rFonts w:cs="Arial"/>
                <w:color w:val="000000" w:themeColor="text1"/>
                <w:szCs w:val="32"/>
              </w:rPr>
            </w:pPr>
            <w:bookmarkStart w:id="11" w:name="_Toc106011668"/>
            <w:bookmarkStart w:id="12" w:name="_Toc19798775"/>
            <w:bookmarkStart w:id="13" w:name="_Toc26467246"/>
            <w:bookmarkStart w:id="14" w:name="_Toc29326607"/>
            <w:bookmarkStart w:id="15" w:name="_Toc29327757"/>
            <w:bookmarkStart w:id="16" w:name="_Toc36045947"/>
            <w:bookmarkStart w:id="17" w:name="_Toc36046207"/>
            <w:bookmarkStart w:id="18" w:name="_Toc36046353"/>
            <w:bookmarkStart w:id="19" w:name="_Toc45209270"/>
            <w:bookmarkStart w:id="20" w:name="_Toc51852444"/>
            <w:bookmarkStart w:id="21" w:name="_Toc74668503"/>
            <w:r w:rsidRPr="006F2159">
              <w:rPr>
                <w:rFonts w:cs="Arial"/>
                <w:color w:val="000000" w:themeColor="text1"/>
                <w:szCs w:val="32"/>
              </w:rPr>
              <w:t>4.4</w:t>
            </w:r>
            <w:r w:rsidRPr="006F2159">
              <w:rPr>
                <w:rFonts w:cs="Arial"/>
                <w:color w:val="000000" w:themeColor="text1"/>
                <w:szCs w:val="32"/>
              </w:rPr>
              <w:tab/>
              <w:t>Channel access procedures for frequency range 2-2</w:t>
            </w:r>
            <w:bookmarkEnd w:id="11"/>
          </w:p>
          <w:p w14:paraId="497A7C0B" w14:textId="77777777" w:rsidR="00C66069" w:rsidRPr="0020451B" w:rsidRDefault="00C66069" w:rsidP="00C66069">
            <w:pPr>
              <w:spacing w:before="0" w:after="0"/>
              <w:jc w:val="center"/>
              <w:rPr>
                <w:b/>
                <w:noProof/>
                <w:color w:val="FF0000"/>
                <w:sz w:val="22"/>
                <w:szCs w:val="16"/>
              </w:rPr>
            </w:pPr>
            <w:r w:rsidRPr="0020451B">
              <w:rPr>
                <w:b/>
                <w:noProof/>
                <w:color w:val="FF0000"/>
                <w:sz w:val="22"/>
                <w:szCs w:val="16"/>
              </w:rPr>
              <w:t>&lt;Unchanged parts omitted&gt;</w:t>
            </w:r>
          </w:p>
          <w:p w14:paraId="3EE64C4B" w14:textId="77777777" w:rsidR="00BD55E1" w:rsidRPr="006F2159" w:rsidRDefault="00BD55E1" w:rsidP="00430B51">
            <w:pPr>
              <w:pStyle w:val="B1"/>
              <w:spacing w:before="0" w:after="0"/>
              <w:rPr>
                <w:szCs w:val="22"/>
              </w:rPr>
            </w:pPr>
            <w:r w:rsidRPr="006F2159">
              <w:rPr>
                <w:szCs w:val="22"/>
              </w:rPr>
              <w:t>-</w:t>
            </w:r>
            <w:r w:rsidRPr="006F2159">
              <w:rPr>
                <w:szCs w:val="22"/>
              </w:rPr>
              <w:tab/>
              <w:t xml:space="preserve">Type 1 channel access procedure as described in Clause 4.4.1 is applied before the start of the channel occupancy simultaneously per sensing beam where each sensing beam covers a transmission beam within the channel occupancy. </w:t>
            </w:r>
            <w:r w:rsidRPr="00620A22">
              <w:rPr>
                <w:color w:val="C00000"/>
                <w:szCs w:val="22"/>
                <w:u w:val="single"/>
              </w:rPr>
              <w:t>The energy detection threshold used for each sensing beam is determined independently per beam according to Clause 4.4.7 with all the transmissions covered by the sensing beam.</w:t>
            </w:r>
            <w:r w:rsidRPr="006F2159">
              <w:rPr>
                <w:szCs w:val="22"/>
              </w:rPr>
              <w:t xml:space="preserve"> When the channel is accessed, the transmission(s) within the channel occupancy across different beams can occur. </w:t>
            </w:r>
          </w:p>
          <w:p w14:paraId="2409A7D9" w14:textId="77777777" w:rsidR="00BD55E1" w:rsidRPr="006F2159" w:rsidRDefault="00BD55E1" w:rsidP="00430B51">
            <w:pPr>
              <w:spacing w:before="0" w:after="0"/>
              <w:rPr>
                <w:sz w:val="22"/>
                <w:szCs w:val="22"/>
              </w:rPr>
            </w:pPr>
            <w:r w:rsidRPr="006F2159">
              <w:rPr>
                <w:sz w:val="22"/>
                <w:szCs w:val="22"/>
              </w:rPr>
              <w:t>If a channel occupancy includes transmissions in different beams that are multiplexed in time domain, one of the followings is applicable for the corresponding sensing to perform the transmissions within the channel occupancy:</w:t>
            </w:r>
          </w:p>
          <w:p w14:paraId="2178F811" w14:textId="77777777" w:rsidR="00BD55E1" w:rsidRPr="006F2159" w:rsidRDefault="00BD55E1" w:rsidP="00430B51">
            <w:pPr>
              <w:pStyle w:val="B1"/>
              <w:spacing w:before="0" w:after="0"/>
              <w:rPr>
                <w:szCs w:val="22"/>
              </w:rPr>
            </w:pPr>
            <w:r w:rsidRPr="006F2159">
              <w:rPr>
                <w:szCs w:val="22"/>
              </w:rPr>
              <w:t>-</w:t>
            </w:r>
            <w:r w:rsidRPr="006F2159">
              <w:rPr>
                <w:szCs w:val="22"/>
              </w:rPr>
              <w:tab/>
              <w:t>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following the procedures described in Clause 4.4.3.</w:t>
            </w:r>
          </w:p>
          <w:p w14:paraId="38D15B8C" w14:textId="77777777" w:rsidR="00BD55E1" w:rsidRPr="006F2159" w:rsidRDefault="00BD55E1" w:rsidP="00430B51">
            <w:pPr>
              <w:pStyle w:val="B1"/>
              <w:spacing w:before="0" w:after="0"/>
              <w:rPr>
                <w:szCs w:val="22"/>
              </w:rPr>
            </w:pPr>
            <w:r w:rsidRPr="006F2159">
              <w:rPr>
                <w:szCs w:val="22"/>
              </w:rPr>
              <w:t>-</w:t>
            </w:r>
            <w:r w:rsidRPr="006F2159">
              <w:rPr>
                <w:szCs w:val="22"/>
              </w:rPr>
              <w:tab/>
              <w:t xml:space="preserve">When the </w:t>
            </w:r>
            <w:proofErr w:type="spellStart"/>
            <w:r w:rsidRPr="006F2159">
              <w:rPr>
                <w:szCs w:val="22"/>
              </w:rPr>
              <w:t>gNB</w:t>
            </w:r>
            <w:proofErr w:type="spellEnd"/>
            <w:r w:rsidRPr="006F2159">
              <w:rPr>
                <w:szCs w:val="22"/>
              </w:rPr>
              <w:t xml:space="preserve">/UE can perform simultaneous sensing in different beams, Type 1 channel access procedure as described in Clause 4.4.1 is applied before the start of the channel occupancy per sensing beam where each sensing beam covers a transmission beam within the channel occupancy. </w:t>
            </w:r>
            <w:r w:rsidRPr="00620A22">
              <w:rPr>
                <w:color w:val="C00000"/>
                <w:szCs w:val="22"/>
                <w:u w:val="single"/>
              </w:rPr>
              <w:t>The energy detection threshold used for each sensing beam is determined independently per beam according to Clause 4.4.7 with all the transmissions covered by the sensing beam.</w:t>
            </w:r>
            <w:r w:rsidRPr="006F2159">
              <w:rPr>
                <w:szCs w:val="22"/>
              </w:rPr>
              <w:t xml:space="preserve"> When the channel is accessed, the transmission within the channel occupancy across different beams can occur following the procedures described in Clause 4.4.3. </w:t>
            </w:r>
          </w:p>
          <w:p w14:paraId="52B1EC9D" w14:textId="77777777" w:rsidR="00BD55E1" w:rsidRPr="006F2159" w:rsidRDefault="00BD55E1" w:rsidP="00430B51">
            <w:pPr>
              <w:pStyle w:val="B1"/>
              <w:spacing w:before="0" w:after="0"/>
              <w:rPr>
                <w:szCs w:val="22"/>
              </w:rPr>
            </w:pPr>
            <w:r w:rsidRPr="006F2159">
              <w:rPr>
                <w:szCs w:val="22"/>
              </w:rPr>
              <w:t>-</w:t>
            </w:r>
            <w:r w:rsidRPr="006F2159">
              <w:rPr>
                <w:szCs w:val="22"/>
              </w:rPr>
              <w:tab/>
              <w:t xml:space="preserve">When the </w:t>
            </w:r>
            <w:proofErr w:type="spellStart"/>
            <w:r w:rsidRPr="006F2159">
              <w:rPr>
                <w:szCs w:val="22"/>
              </w:rPr>
              <w:t>gNB</w:t>
            </w:r>
            <w:proofErr w:type="spellEnd"/>
            <w:r w:rsidRPr="006F2159">
              <w:rPr>
                <w:szCs w:val="22"/>
              </w:rPr>
              <w:t xml:space="preserve">/UE can perform simultaneous sensing in different beams, Type 1 channel access procedure as described in Clause 4.4.1 is applied before the start of the channel occupancy per sensing beam where each sensing beam covers a transmission beam within the channel occupancy. </w:t>
            </w:r>
            <w:r w:rsidRPr="00620A22">
              <w:rPr>
                <w:color w:val="C00000"/>
                <w:szCs w:val="22"/>
                <w:u w:val="single"/>
              </w:rPr>
              <w:t>The energy detection threshold used for each sensing beam is determined independently per beam according to Clause 4.4.7 with all the transmissions covered by the sensing beam.</w:t>
            </w:r>
            <w:r w:rsidRPr="006F2159">
              <w:rPr>
                <w:szCs w:val="22"/>
              </w:rPr>
              <w:t xml:space="preserve"> When the channel is accessed, the transmission within the channel occupancy can occur following the procedures in Clause 4.4.2 before switching to a different beam within the channel occupancy.</w:t>
            </w:r>
          </w:p>
          <w:p w14:paraId="3CE3B468" w14:textId="77777777" w:rsidR="00BD55E1" w:rsidRPr="00430B51" w:rsidRDefault="00BD55E1" w:rsidP="00430B51">
            <w:pPr>
              <w:spacing w:before="0" w:after="0"/>
              <w:jc w:val="center"/>
              <w:rPr>
                <w:b/>
                <w:noProof/>
                <w:color w:val="FF0000"/>
                <w:sz w:val="22"/>
                <w:szCs w:val="16"/>
              </w:rPr>
            </w:pPr>
            <w:r w:rsidRPr="00430B51">
              <w:rPr>
                <w:b/>
                <w:noProof/>
                <w:color w:val="FF0000"/>
                <w:sz w:val="22"/>
                <w:szCs w:val="16"/>
              </w:rPr>
              <w:t>&lt;Unchanged parts omitted&gt;</w:t>
            </w:r>
          </w:p>
          <w:bookmarkEnd w:id="12"/>
          <w:bookmarkEnd w:id="13"/>
          <w:bookmarkEnd w:id="14"/>
          <w:bookmarkEnd w:id="15"/>
          <w:bookmarkEnd w:id="16"/>
          <w:bookmarkEnd w:id="17"/>
          <w:bookmarkEnd w:id="18"/>
          <w:bookmarkEnd w:id="19"/>
          <w:bookmarkEnd w:id="20"/>
          <w:bookmarkEnd w:id="21"/>
          <w:p w14:paraId="65ABCFD2" w14:textId="77777777" w:rsidR="00BD55E1" w:rsidRDefault="00BD55E1" w:rsidP="00430B51">
            <w:pPr>
              <w:spacing w:before="0" w:after="0"/>
              <w:rPr>
                <w:b/>
                <w:bCs/>
              </w:rPr>
            </w:pPr>
          </w:p>
        </w:tc>
      </w:tr>
    </w:tbl>
    <w:p w14:paraId="7F4A4684" w14:textId="77777777" w:rsidR="00F132A3" w:rsidRDefault="00F132A3" w:rsidP="00F132A3">
      <w:pPr>
        <w:jc w:val="both"/>
        <w:rPr>
          <w:b/>
          <w:bCs/>
        </w:rPr>
      </w:pPr>
    </w:p>
    <w:p w14:paraId="239D6F7A" w14:textId="77777777" w:rsidR="00BD55E1" w:rsidRDefault="00BD55E1" w:rsidP="00F132A3">
      <w:pPr>
        <w:jc w:val="both"/>
        <w:rPr>
          <w:b/>
          <w:bCs/>
        </w:rPr>
      </w:pPr>
    </w:p>
    <w:p w14:paraId="120F9058" w14:textId="77777777" w:rsidR="00BD55E1" w:rsidRPr="00CB35DA" w:rsidRDefault="00BD55E1" w:rsidP="00F132A3">
      <w:pPr>
        <w:jc w:val="both"/>
        <w:rPr>
          <w:b/>
          <w:bCs/>
        </w:rPr>
      </w:pPr>
    </w:p>
    <w:p w14:paraId="19C26BE6" w14:textId="100454F1" w:rsidR="00F132A3" w:rsidRPr="005712AF" w:rsidRDefault="00F132A3" w:rsidP="005712AF">
      <w:pPr>
        <w:pStyle w:val="Heading1"/>
        <w:ind w:left="450"/>
        <w:textAlignment w:val="auto"/>
        <w:rPr>
          <w:lang w:val="en-US"/>
        </w:rPr>
      </w:pPr>
      <w:r w:rsidRPr="005712AF">
        <w:rPr>
          <w:lang w:val="en-US"/>
        </w:rPr>
        <w:t>Conclusions</w:t>
      </w:r>
    </w:p>
    <w:p w14:paraId="52B20DDA" w14:textId="77777777" w:rsidR="00F132A3" w:rsidRDefault="00F132A3" w:rsidP="00F132A3">
      <w:r w:rsidRPr="00420FCE">
        <w:t xml:space="preserve">In this contribution, we </w:t>
      </w:r>
      <w:r w:rsidRPr="00A03612">
        <w:t>derived the following proposal</w:t>
      </w:r>
      <w:r w:rsidRPr="006D177B">
        <w:t>:</w:t>
      </w:r>
    </w:p>
    <w:p w14:paraId="19B3A8DF" w14:textId="77777777" w:rsidR="003B4E98" w:rsidRDefault="003B4E98" w:rsidP="003B4E98">
      <w:pPr>
        <w:jc w:val="both"/>
        <w:rPr>
          <w:b/>
          <w:bCs/>
          <w:szCs w:val="22"/>
        </w:rPr>
      </w:pPr>
      <w:r>
        <w:rPr>
          <w:b/>
          <w:bCs/>
          <w:szCs w:val="22"/>
        </w:rPr>
        <w:t xml:space="preserve">Proposal 1: </w:t>
      </w:r>
      <w:r w:rsidRPr="004C6232">
        <w:rPr>
          <w:b/>
          <w:bCs/>
          <w:szCs w:val="22"/>
        </w:rPr>
        <w:t xml:space="preserve">For a COT with MU-MIMO (SDM) transmission or TDM transmission of beams with beam switching, when independent per-beam LBT is performed at the start of the COT, </w:t>
      </w:r>
      <w:r>
        <w:rPr>
          <w:b/>
          <w:bCs/>
          <w:szCs w:val="22"/>
        </w:rPr>
        <w:t>define Pout as the maximum EIRP of the intended transmissions “covered” by the sensing beam by the node determining EDT during the COT.</w:t>
      </w:r>
    </w:p>
    <w:p w14:paraId="4E81276C" w14:textId="1E92C36E" w:rsidR="00620A22" w:rsidRPr="0020451B" w:rsidRDefault="00620A22" w:rsidP="00620A22">
      <w:pPr>
        <w:pStyle w:val="ListParagraph"/>
        <w:numPr>
          <w:ilvl w:val="0"/>
          <w:numId w:val="14"/>
        </w:numPr>
        <w:jc w:val="both"/>
        <w:rPr>
          <w:rFonts w:ascii="Times New Roman" w:hAnsi="Times New Roman"/>
          <w:b/>
          <w:bCs/>
        </w:rPr>
      </w:pPr>
      <w:r>
        <w:rPr>
          <w:rFonts w:ascii="Times New Roman" w:hAnsi="Times New Roman"/>
          <w:b/>
          <w:bCs/>
        </w:rPr>
        <w:lastRenderedPageBreak/>
        <w:t>Endorse the draft CR for TS37.</w:t>
      </w:r>
      <w:r w:rsidRPr="00834B1A">
        <w:rPr>
          <w:rFonts w:ascii="Times New Roman" w:hAnsi="Times New Roman"/>
          <w:b/>
          <w:bCs/>
        </w:rPr>
        <w:t>213 in R1-22</w:t>
      </w:r>
      <w:r w:rsidR="00834B1A" w:rsidRPr="00834B1A">
        <w:rPr>
          <w:rFonts w:ascii="Times New Roman" w:hAnsi="Times New Roman"/>
          <w:b/>
          <w:bCs/>
        </w:rPr>
        <w:t>06543</w:t>
      </w:r>
    </w:p>
    <w:p w14:paraId="1622C235" w14:textId="77777777" w:rsidR="00620A22" w:rsidRPr="004C6232" w:rsidRDefault="00620A22" w:rsidP="003B4E98">
      <w:pPr>
        <w:jc w:val="both"/>
        <w:rPr>
          <w:b/>
          <w:bCs/>
          <w:szCs w:val="22"/>
        </w:rPr>
      </w:pPr>
    </w:p>
    <w:p w14:paraId="51056D94" w14:textId="77777777" w:rsidR="00F132A3" w:rsidRDefault="00F132A3" w:rsidP="00F132A3">
      <w:pPr>
        <w:pStyle w:val="Heading1"/>
        <w:numPr>
          <w:ilvl w:val="0"/>
          <w:numId w:val="0"/>
        </w:numPr>
        <w:textAlignment w:val="auto"/>
        <w:rPr>
          <w:sz w:val="32"/>
          <w:szCs w:val="18"/>
          <w:lang w:val="en-US"/>
        </w:rPr>
      </w:pPr>
      <w:r w:rsidRPr="00164A9E">
        <w:rPr>
          <w:sz w:val="32"/>
          <w:szCs w:val="18"/>
          <w:lang w:val="en-US"/>
        </w:rPr>
        <w:t>References</w:t>
      </w:r>
    </w:p>
    <w:p w14:paraId="1CC29F0D" w14:textId="208113BA" w:rsidR="00F132A3" w:rsidRPr="0091235B" w:rsidRDefault="00F132A3" w:rsidP="00F132A3">
      <w:pPr>
        <w:pStyle w:val="B3"/>
        <w:widowControl w:val="0"/>
        <w:numPr>
          <w:ilvl w:val="0"/>
          <w:numId w:val="2"/>
        </w:numPr>
        <w:overflowPunct/>
        <w:autoSpaceDE/>
        <w:adjustRightInd/>
        <w:ind w:left="0" w:firstLine="0"/>
        <w:jc w:val="both"/>
        <w:textAlignment w:val="auto"/>
        <w:rPr>
          <w:rFonts w:ascii="Times" w:hAnsi="Times"/>
          <w:szCs w:val="22"/>
          <w:lang w:eastAsia="zh-CN"/>
        </w:rPr>
      </w:pPr>
      <w:bookmarkStart w:id="22" w:name="_Ref101882449"/>
      <w:bookmarkEnd w:id="2"/>
      <w:bookmarkEnd w:id="3"/>
      <w:bookmarkEnd w:id="4"/>
      <w:bookmarkEnd w:id="5"/>
      <w:bookmarkEnd w:id="6"/>
      <w:bookmarkEnd w:id="7"/>
      <w:bookmarkEnd w:id="8"/>
      <w:bookmarkEnd w:id="9"/>
      <w:bookmarkEnd w:id="10"/>
      <w:r w:rsidRPr="00834B1A">
        <w:t>R1-</w:t>
      </w:r>
      <w:r w:rsidR="00834B1A" w:rsidRPr="00834B1A">
        <w:t>2206543</w:t>
      </w:r>
      <w:r w:rsidRPr="00834B1A">
        <w:t>, “</w:t>
      </w:r>
      <w:r w:rsidR="00EF1495" w:rsidRPr="00834B1A">
        <w:rPr>
          <w:szCs w:val="22"/>
        </w:rPr>
        <w:t>[draft</w:t>
      </w:r>
      <w:r w:rsidR="00EF1495">
        <w:rPr>
          <w:szCs w:val="22"/>
        </w:rPr>
        <w:t xml:space="preserve"> CR] Correction on EDT threshold calculation for per-beam LBT operation</w:t>
      </w:r>
      <w:r w:rsidRPr="0091235B">
        <w:rPr>
          <w:szCs w:val="22"/>
        </w:rPr>
        <w:t>”, Intel Corporation, August 2022.</w:t>
      </w:r>
      <w:bookmarkEnd w:id="22"/>
      <w:r w:rsidRPr="0091235B">
        <w:rPr>
          <w:szCs w:val="22"/>
        </w:rPr>
        <w:t xml:space="preserve"> </w:t>
      </w:r>
    </w:p>
    <w:p w14:paraId="02A6CAE8" w14:textId="77777777" w:rsidR="00F132A3" w:rsidRPr="0091235B" w:rsidRDefault="00F132A3" w:rsidP="00F132A3">
      <w:pPr>
        <w:pStyle w:val="B3"/>
        <w:widowControl w:val="0"/>
        <w:overflowPunct/>
        <w:autoSpaceDE/>
        <w:adjustRightInd/>
        <w:ind w:left="0" w:firstLine="0"/>
        <w:jc w:val="both"/>
        <w:textAlignment w:val="auto"/>
        <w:rPr>
          <w:rFonts w:ascii="Times" w:hAnsi="Times"/>
          <w:szCs w:val="22"/>
          <w:lang w:eastAsia="zh-CN"/>
        </w:rPr>
      </w:pPr>
    </w:p>
    <w:p w14:paraId="53C2EB24" w14:textId="77777777" w:rsidR="00F132A3" w:rsidRDefault="00F132A3" w:rsidP="00F132A3">
      <w:pPr>
        <w:spacing w:after="0"/>
        <w:ind w:left="1988" w:hanging="1988"/>
        <w:rPr>
          <w:szCs w:val="22"/>
        </w:rPr>
      </w:pPr>
    </w:p>
    <w:p w14:paraId="77C39B25" w14:textId="77777777" w:rsidR="00F132A3" w:rsidRDefault="00F132A3" w:rsidP="00F132A3">
      <w:pPr>
        <w:spacing w:after="0"/>
        <w:ind w:left="1988" w:hanging="1988"/>
        <w:rPr>
          <w:szCs w:val="22"/>
        </w:rPr>
      </w:pPr>
    </w:p>
    <w:p w14:paraId="2623CDD5" w14:textId="77777777" w:rsidR="00F132A3" w:rsidRPr="0091235B" w:rsidRDefault="00F132A3" w:rsidP="00F132A3">
      <w:pPr>
        <w:spacing w:after="0"/>
        <w:ind w:left="1988" w:hanging="1988"/>
        <w:rPr>
          <w:szCs w:val="22"/>
        </w:rPr>
      </w:pPr>
    </w:p>
    <w:p w14:paraId="55E513E4" w14:textId="77777777" w:rsidR="00D33603" w:rsidRDefault="00D33603"/>
    <w:sectPr w:rsidR="00D33603" w:rsidSect="00F132A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EEC4C" w14:textId="77777777" w:rsidR="00AE31BA" w:rsidRDefault="00645565">
      <w:pPr>
        <w:spacing w:after="0"/>
      </w:pPr>
      <w:r>
        <w:separator/>
      </w:r>
    </w:p>
  </w:endnote>
  <w:endnote w:type="continuationSeparator" w:id="0">
    <w:p w14:paraId="7F899B2A" w14:textId="77777777" w:rsidR="00AE31BA" w:rsidRDefault="00645565">
      <w:pPr>
        <w:spacing w:after="0"/>
      </w:pPr>
      <w:r>
        <w:continuationSeparator/>
      </w:r>
    </w:p>
  </w:endnote>
  <w:endnote w:type="continuationNotice" w:id="1">
    <w:p w14:paraId="40B4D028" w14:textId="77777777" w:rsidR="005601F4" w:rsidRDefault="005601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8BAA1" w14:textId="77777777" w:rsidR="002D4DD4" w:rsidRDefault="00645565" w:rsidP="002D4DD4">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521C81D6" w14:textId="77777777" w:rsidR="002D4DD4" w:rsidRDefault="002D4DD4" w:rsidP="002D4DD4">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2D622" w14:textId="77777777" w:rsidR="002D4DD4" w:rsidRDefault="00645565" w:rsidP="002D4DD4">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E6D3" w14:textId="77777777" w:rsidR="002D4DD4" w:rsidRDefault="002D4D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2D457" w14:textId="77777777" w:rsidR="00AE31BA" w:rsidRDefault="00645565">
      <w:pPr>
        <w:spacing w:after="0"/>
      </w:pPr>
      <w:r>
        <w:separator/>
      </w:r>
    </w:p>
  </w:footnote>
  <w:footnote w:type="continuationSeparator" w:id="0">
    <w:p w14:paraId="5A583DCC" w14:textId="77777777" w:rsidR="00AE31BA" w:rsidRDefault="00645565">
      <w:pPr>
        <w:spacing w:after="0"/>
      </w:pPr>
      <w:r>
        <w:continuationSeparator/>
      </w:r>
    </w:p>
  </w:footnote>
  <w:footnote w:type="continuationNotice" w:id="1">
    <w:p w14:paraId="6B2C9BE6" w14:textId="77777777" w:rsidR="005601F4" w:rsidRDefault="005601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C33BA" w14:textId="77777777" w:rsidR="002D4DD4" w:rsidRDefault="0064556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6D626" w14:textId="77777777" w:rsidR="002D4DD4" w:rsidRDefault="002D4DD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E39F" w14:textId="77777777" w:rsidR="002D4DD4" w:rsidRDefault="002D4D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B6E4F"/>
    <w:multiLevelType w:val="hybridMultilevel"/>
    <w:tmpl w:val="4A645C9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3D437EF"/>
    <w:multiLevelType w:val="hybridMultilevel"/>
    <w:tmpl w:val="73424C30"/>
    <w:lvl w:ilvl="0" w:tplc="2D48697E">
      <w:start w:val="11"/>
      <w:numFmt w:val="decimal"/>
      <w:lvlText w:val="%1"/>
      <w:lvlJc w:val="left"/>
      <w:pPr>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4AB7909"/>
    <w:multiLevelType w:val="hybridMultilevel"/>
    <w:tmpl w:val="5B0E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D634BF0"/>
    <w:multiLevelType w:val="hybridMultilevel"/>
    <w:tmpl w:val="1A32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AE20652"/>
    <w:multiLevelType w:val="multilevel"/>
    <w:tmpl w:val="448AD952"/>
    <w:lvl w:ilvl="0">
      <w:start w:val="1"/>
      <w:numFmt w:val="decimal"/>
      <w:pStyle w:val="Heading1"/>
      <w:lvlText w:val="%1"/>
      <w:lvlJc w:val="left"/>
      <w:pPr>
        <w:ind w:left="88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3"/>
  </w:num>
  <w:num w:numId="6">
    <w:abstractNumId w:val="9"/>
  </w:num>
  <w:num w:numId="7">
    <w:abstractNumId w:val="10"/>
  </w:num>
  <w:num w:numId="8">
    <w:abstractNumId w:val="6"/>
  </w:num>
  <w:num w:numId="9">
    <w:abstractNumId w:val="4"/>
  </w:num>
  <w:num w:numId="10">
    <w:abstractNumId w:val="0"/>
  </w:num>
  <w:num w:numId="11">
    <w:abstractNumId w:val="5"/>
  </w:num>
  <w:num w:numId="12">
    <w:abstractNumId w:val="9"/>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2A3"/>
    <w:rsid w:val="00070B04"/>
    <w:rsid w:val="00085501"/>
    <w:rsid w:val="000C7F63"/>
    <w:rsid w:val="001001D3"/>
    <w:rsid w:val="0016387F"/>
    <w:rsid w:val="00176EC3"/>
    <w:rsid w:val="001E6C7F"/>
    <w:rsid w:val="00213E66"/>
    <w:rsid w:val="002514FD"/>
    <w:rsid w:val="002D4DD4"/>
    <w:rsid w:val="00320B12"/>
    <w:rsid w:val="00330055"/>
    <w:rsid w:val="00372EFF"/>
    <w:rsid w:val="00381BC8"/>
    <w:rsid w:val="003B4E98"/>
    <w:rsid w:val="003D0D7E"/>
    <w:rsid w:val="003D295A"/>
    <w:rsid w:val="003F2E3E"/>
    <w:rsid w:val="00430B51"/>
    <w:rsid w:val="004354AF"/>
    <w:rsid w:val="004E42E6"/>
    <w:rsid w:val="00516195"/>
    <w:rsid w:val="005601F4"/>
    <w:rsid w:val="005712AF"/>
    <w:rsid w:val="005822DA"/>
    <w:rsid w:val="00593702"/>
    <w:rsid w:val="005A6428"/>
    <w:rsid w:val="005B6E38"/>
    <w:rsid w:val="00620A22"/>
    <w:rsid w:val="00645565"/>
    <w:rsid w:val="006643F8"/>
    <w:rsid w:val="006902A4"/>
    <w:rsid w:val="00754F25"/>
    <w:rsid w:val="0076518A"/>
    <w:rsid w:val="007D4ECF"/>
    <w:rsid w:val="00822C23"/>
    <w:rsid w:val="00834B1A"/>
    <w:rsid w:val="00842465"/>
    <w:rsid w:val="00845C64"/>
    <w:rsid w:val="008A3BAE"/>
    <w:rsid w:val="008C33CA"/>
    <w:rsid w:val="008C53DB"/>
    <w:rsid w:val="008D655C"/>
    <w:rsid w:val="00922607"/>
    <w:rsid w:val="00951B9E"/>
    <w:rsid w:val="00A670C1"/>
    <w:rsid w:val="00A95C8A"/>
    <w:rsid w:val="00AA0535"/>
    <w:rsid w:val="00AB44CE"/>
    <w:rsid w:val="00AE31BA"/>
    <w:rsid w:val="00BD55E1"/>
    <w:rsid w:val="00C66069"/>
    <w:rsid w:val="00C9368C"/>
    <w:rsid w:val="00D10BFA"/>
    <w:rsid w:val="00D33603"/>
    <w:rsid w:val="00D95BD0"/>
    <w:rsid w:val="00DA4CBD"/>
    <w:rsid w:val="00DD0B14"/>
    <w:rsid w:val="00E56BA3"/>
    <w:rsid w:val="00EF1495"/>
    <w:rsid w:val="00F132A3"/>
    <w:rsid w:val="00F800A9"/>
    <w:rsid w:val="00FE1D0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C99D9"/>
  <w15:chartTrackingRefBased/>
  <w15:docId w15:val="{AABD4A5F-6E96-402A-B449-C2AD6086A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2A3"/>
    <w:pPr>
      <w:overflowPunct w:val="0"/>
      <w:autoSpaceDE w:val="0"/>
      <w:autoSpaceDN w:val="0"/>
      <w:adjustRightInd w:val="0"/>
      <w:spacing w:after="120" w:line="240" w:lineRule="auto"/>
      <w:textAlignment w:val="baseline"/>
    </w:pPr>
    <w:rPr>
      <w:rFonts w:ascii="Times New Roman" w:eastAsia="SimSun" w:hAnsi="Times New Roman" w:cs="Times New Roman"/>
      <w:szCs w:val="20"/>
    </w:rPr>
  </w:style>
  <w:style w:type="paragraph" w:styleId="Heading1">
    <w:name w:val="heading 1"/>
    <w:next w:val="Normal"/>
    <w:link w:val="Heading1Char"/>
    <w:qFormat/>
    <w:rsid w:val="00F132A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F132A3"/>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132A3"/>
    <w:pPr>
      <w:numPr>
        <w:ilvl w:val="2"/>
      </w:numPr>
      <w:spacing w:after="120"/>
      <w:outlineLvl w:val="2"/>
    </w:pPr>
    <w:rPr>
      <w:sz w:val="28"/>
    </w:rPr>
  </w:style>
  <w:style w:type="paragraph" w:styleId="Heading4">
    <w:name w:val="heading 4"/>
    <w:aliases w:val="h4"/>
    <w:basedOn w:val="Heading3"/>
    <w:next w:val="Normal"/>
    <w:link w:val="Heading4Char"/>
    <w:qFormat/>
    <w:rsid w:val="00F132A3"/>
    <w:pPr>
      <w:numPr>
        <w:ilvl w:val="3"/>
      </w:numPr>
      <w:outlineLvl w:val="3"/>
    </w:pPr>
    <w:rPr>
      <w:sz w:val="24"/>
    </w:rPr>
  </w:style>
  <w:style w:type="paragraph" w:styleId="Heading5">
    <w:name w:val="heading 5"/>
    <w:basedOn w:val="Heading4"/>
    <w:next w:val="Normal"/>
    <w:link w:val="Heading5Char"/>
    <w:qFormat/>
    <w:rsid w:val="00F132A3"/>
    <w:pPr>
      <w:numPr>
        <w:ilvl w:val="4"/>
      </w:numPr>
      <w:outlineLvl w:val="4"/>
    </w:pPr>
    <w:rPr>
      <w:sz w:val="22"/>
    </w:rPr>
  </w:style>
  <w:style w:type="paragraph" w:styleId="Heading6">
    <w:name w:val="heading 6"/>
    <w:basedOn w:val="Normal"/>
    <w:next w:val="Normal"/>
    <w:link w:val="Heading6Char"/>
    <w:qFormat/>
    <w:rsid w:val="00F132A3"/>
    <w:pPr>
      <w:keepNext/>
      <w:keepLines/>
      <w:numPr>
        <w:ilvl w:val="5"/>
        <w:numId w:val="1"/>
      </w:numPr>
      <w:spacing w:before="180"/>
      <w:outlineLvl w:val="5"/>
    </w:pPr>
    <w:rPr>
      <w:rFonts w:ascii="Arial" w:hAnsi="Arial"/>
      <w:sz w:val="20"/>
      <w:lang w:val="en-GB" w:eastAsia="x-none"/>
    </w:rPr>
  </w:style>
  <w:style w:type="paragraph" w:styleId="Heading7">
    <w:name w:val="heading 7"/>
    <w:basedOn w:val="Normal"/>
    <w:next w:val="Normal"/>
    <w:link w:val="Heading7Char"/>
    <w:qFormat/>
    <w:rsid w:val="00F132A3"/>
    <w:pPr>
      <w:keepNext/>
      <w:keepLines/>
      <w:numPr>
        <w:ilvl w:val="6"/>
        <w:numId w:val="1"/>
      </w:numPr>
      <w:spacing w:before="180"/>
      <w:outlineLvl w:val="6"/>
    </w:pPr>
    <w:rPr>
      <w:rFonts w:ascii="Arial" w:hAnsi="Arial"/>
      <w:sz w:val="20"/>
      <w:lang w:val="en-GB" w:eastAsia="x-none"/>
    </w:rPr>
  </w:style>
  <w:style w:type="paragraph" w:styleId="Heading8">
    <w:name w:val="heading 8"/>
    <w:basedOn w:val="Heading1"/>
    <w:next w:val="Normal"/>
    <w:link w:val="Heading8Char"/>
    <w:qFormat/>
    <w:rsid w:val="00F132A3"/>
    <w:pPr>
      <w:numPr>
        <w:ilvl w:val="7"/>
      </w:numPr>
      <w:outlineLvl w:val="7"/>
    </w:pPr>
  </w:style>
  <w:style w:type="paragraph" w:styleId="Heading9">
    <w:name w:val="heading 9"/>
    <w:basedOn w:val="Heading8"/>
    <w:next w:val="Normal"/>
    <w:link w:val="Heading9Char"/>
    <w:qFormat/>
    <w:rsid w:val="00F132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32A3"/>
    <w:rPr>
      <w:rFonts w:ascii="Arial" w:eastAsia="SimSun" w:hAnsi="Arial" w:cs="Times New Roman"/>
      <w:sz w:val="36"/>
      <w:szCs w:val="20"/>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F132A3"/>
    <w:rPr>
      <w:rFonts w:ascii="Arial" w:eastAsia="SimSun" w:hAnsi="Arial" w:cs="Times New Roman"/>
      <w:sz w:val="32"/>
      <w:szCs w:val="20"/>
      <w:lang w:val="en-GB" w:eastAsia="x-none"/>
    </w:rPr>
  </w:style>
  <w:style w:type="character" w:customStyle="1" w:styleId="Heading3Char">
    <w:name w:val="Heading 3 Char"/>
    <w:basedOn w:val="DefaultParagraphFont"/>
    <w:link w:val="Heading3"/>
    <w:rsid w:val="00F132A3"/>
    <w:rPr>
      <w:rFonts w:ascii="Arial" w:eastAsia="SimSun" w:hAnsi="Arial" w:cs="Times New Roman"/>
      <w:sz w:val="28"/>
      <w:szCs w:val="20"/>
      <w:lang w:val="en-GB" w:eastAsia="x-none"/>
    </w:rPr>
  </w:style>
  <w:style w:type="character" w:customStyle="1" w:styleId="Heading4Char">
    <w:name w:val="Heading 4 Char"/>
    <w:aliases w:val="h4 Char"/>
    <w:basedOn w:val="DefaultParagraphFont"/>
    <w:link w:val="Heading4"/>
    <w:rsid w:val="00F132A3"/>
    <w:rPr>
      <w:rFonts w:ascii="Arial" w:eastAsia="SimSun" w:hAnsi="Arial" w:cs="Times New Roman"/>
      <w:sz w:val="24"/>
      <w:szCs w:val="20"/>
      <w:lang w:val="en-GB" w:eastAsia="x-none"/>
    </w:rPr>
  </w:style>
  <w:style w:type="character" w:customStyle="1" w:styleId="Heading5Char">
    <w:name w:val="Heading 5 Char"/>
    <w:basedOn w:val="DefaultParagraphFont"/>
    <w:link w:val="Heading5"/>
    <w:rsid w:val="00F132A3"/>
    <w:rPr>
      <w:rFonts w:ascii="Arial" w:eastAsia="SimSun" w:hAnsi="Arial" w:cs="Times New Roman"/>
      <w:szCs w:val="20"/>
      <w:lang w:val="en-GB" w:eastAsia="x-none"/>
    </w:rPr>
  </w:style>
  <w:style w:type="character" w:customStyle="1" w:styleId="Heading6Char">
    <w:name w:val="Heading 6 Char"/>
    <w:basedOn w:val="DefaultParagraphFont"/>
    <w:link w:val="Heading6"/>
    <w:rsid w:val="00F132A3"/>
    <w:rPr>
      <w:rFonts w:ascii="Arial" w:eastAsia="SimSun" w:hAnsi="Arial" w:cs="Times New Roman"/>
      <w:sz w:val="20"/>
      <w:szCs w:val="20"/>
      <w:lang w:val="en-GB" w:eastAsia="x-none"/>
    </w:rPr>
  </w:style>
  <w:style w:type="character" w:customStyle="1" w:styleId="Heading7Char">
    <w:name w:val="Heading 7 Char"/>
    <w:basedOn w:val="DefaultParagraphFont"/>
    <w:link w:val="Heading7"/>
    <w:rsid w:val="00F132A3"/>
    <w:rPr>
      <w:rFonts w:ascii="Arial" w:eastAsia="SimSun" w:hAnsi="Arial" w:cs="Times New Roman"/>
      <w:sz w:val="20"/>
      <w:szCs w:val="20"/>
      <w:lang w:val="en-GB" w:eastAsia="x-none"/>
    </w:rPr>
  </w:style>
  <w:style w:type="character" w:customStyle="1" w:styleId="Heading8Char">
    <w:name w:val="Heading 8 Char"/>
    <w:basedOn w:val="DefaultParagraphFont"/>
    <w:link w:val="Heading8"/>
    <w:rsid w:val="00F132A3"/>
    <w:rPr>
      <w:rFonts w:ascii="Arial" w:eastAsia="SimSun" w:hAnsi="Arial" w:cs="Times New Roman"/>
      <w:sz w:val="36"/>
      <w:szCs w:val="20"/>
      <w:lang w:val="en-GB" w:eastAsia="zh-CN"/>
    </w:rPr>
  </w:style>
  <w:style w:type="character" w:customStyle="1" w:styleId="Heading9Char">
    <w:name w:val="Heading 9 Char"/>
    <w:basedOn w:val="DefaultParagraphFont"/>
    <w:link w:val="Heading9"/>
    <w:rsid w:val="00F132A3"/>
    <w:rPr>
      <w:rFonts w:ascii="Arial" w:eastAsia="SimSun" w:hAnsi="Arial" w:cs="Times New Roman"/>
      <w:sz w:val="36"/>
      <w:szCs w:val="20"/>
      <w:lang w:val="en-GB" w:eastAsia="zh-CN"/>
    </w:rPr>
  </w:style>
  <w:style w:type="paragraph" w:customStyle="1" w:styleId="B3">
    <w:name w:val="B3"/>
    <w:basedOn w:val="List3"/>
    <w:link w:val="B3Char"/>
    <w:rsid w:val="00F132A3"/>
    <w:pPr>
      <w:ind w:left="1135" w:hanging="284"/>
      <w:contextualSpacing w:val="0"/>
    </w:pPr>
  </w:style>
  <w:style w:type="paragraph" w:styleId="Footer">
    <w:name w:val="footer"/>
    <w:basedOn w:val="Normal"/>
    <w:link w:val="FooterChar"/>
    <w:uiPriority w:val="99"/>
    <w:rsid w:val="00F132A3"/>
    <w:pPr>
      <w:widowControl w:val="0"/>
      <w:spacing w:after="0"/>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F132A3"/>
    <w:rPr>
      <w:rFonts w:ascii="Arial" w:eastAsia="SimSun" w:hAnsi="Arial" w:cs="Times New Roman"/>
      <w:b/>
      <w:i/>
      <w:noProof/>
      <w:sz w:val="18"/>
      <w:szCs w:val="20"/>
      <w:lang w:val="x-none" w:eastAsia="x-none"/>
    </w:rPr>
  </w:style>
  <w:style w:type="table" w:styleId="TableGrid">
    <w:name w:val="Table Grid"/>
    <w:aliases w:val="TableGrid"/>
    <w:basedOn w:val="TableNormal"/>
    <w:uiPriority w:val="59"/>
    <w:qFormat/>
    <w:rsid w:val="00F132A3"/>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132A3"/>
    <w:pPr>
      <w:overflowPunct/>
      <w:autoSpaceDE/>
      <w:autoSpaceDN/>
      <w:adjustRightInd/>
      <w:spacing w:after="0"/>
      <w:ind w:left="720"/>
      <w:textAlignment w:val="auto"/>
    </w:pPr>
    <w:rPr>
      <w:rFonts w:ascii="Calibri" w:eastAsia="Calibri" w:hAnsi="Calibri"/>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132A3"/>
    <w:rPr>
      <w:rFonts w:ascii="Calibri" w:eastAsia="Calibri" w:hAnsi="Calibri" w:cs="Times New Roman"/>
    </w:rPr>
  </w:style>
  <w:style w:type="character" w:customStyle="1" w:styleId="B3Char">
    <w:name w:val="B3 Char"/>
    <w:link w:val="B3"/>
    <w:rsid w:val="00F132A3"/>
    <w:rPr>
      <w:rFonts w:ascii="Times New Roman" w:eastAsia="SimSun" w:hAnsi="Times New Roman" w:cs="Times New Roman"/>
      <w:szCs w:val="20"/>
    </w:rPr>
  </w:style>
  <w:style w:type="paragraph" w:styleId="List3">
    <w:name w:val="List 3"/>
    <w:basedOn w:val="Normal"/>
    <w:uiPriority w:val="99"/>
    <w:semiHidden/>
    <w:unhideWhenUsed/>
    <w:rsid w:val="00F132A3"/>
    <w:pPr>
      <w:ind w:left="1080" w:hanging="360"/>
      <w:contextualSpacing/>
    </w:pPr>
  </w:style>
  <w:style w:type="paragraph" w:customStyle="1" w:styleId="Bulletedo1">
    <w:name w:val="Bulleted o 1"/>
    <w:basedOn w:val="Normal"/>
    <w:rsid w:val="00320B12"/>
    <w:pPr>
      <w:numPr>
        <w:numId w:val="5"/>
      </w:numPr>
    </w:pPr>
    <w:rPr>
      <w:rFonts w:eastAsia="MS Mincho"/>
    </w:rPr>
  </w:style>
  <w:style w:type="paragraph" w:customStyle="1" w:styleId="B1">
    <w:name w:val="B1"/>
    <w:basedOn w:val="List"/>
    <w:link w:val="B1Char1"/>
    <w:qFormat/>
    <w:rsid w:val="00BD55E1"/>
    <w:pPr>
      <w:ind w:left="568" w:hanging="284"/>
      <w:contextualSpacing w:val="0"/>
    </w:pPr>
  </w:style>
  <w:style w:type="character" w:customStyle="1" w:styleId="B1Char1">
    <w:name w:val="B1 Char1"/>
    <w:link w:val="B1"/>
    <w:qFormat/>
    <w:rsid w:val="00BD55E1"/>
    <w:rPr>
      <w:rFonts w:ascii="Times New Roman" w:eastAsia="SimSun" w:hAnsi="Times New Roman" w:cs="Times New Roman"/>
      <w:szCs w:val="20"/>
    </w:rPr>
  </w:style>
  <w:style w:type="paragraph" w:styleId="List">
    <w:name w:val="List"/>
    <w:basedOn w:val="Normal"/>
    <w:uiPriority w:val="99"/>
    <w:semiHidden/>
    <w:unhideWhenUsed/>
    <w:rsid w:val="00BD55E1"/>
    <w:pPr>
      <w:ind w:left="360" w:hanging="360"/>
      <w:contextualSpacing/>
    </w:pPr>
  </w:style>
  <w:style w:type="paragraph" w:styleId="Header">
    <w:name w:val="header"/>
    <w:basedOn w:val="Normal"/>
    <w:link w:val="HeaderChar"/>
    <w:uiPriority w:val="99"/>
    <w:semiHidden/>
    <w:unhideWhenUsed/>
    <w:rsid w:val="005601F4"/>
    <w:pPr>
      <w:tabs>
        <w:tab w:val="center" w:pos="4680"/>
        <w:tab w:val="right" w:pos="9360"/>
      </w:tabs>
      <w:spacing w:after="0"/>
    </w:pPr>
  </w:style>
  <w:style w:type="character" w:customStyle="1" w:styleId="HeaderChar">
    <w:name w:val="Header Char"/>
    <w:basedOn w:val="DefaultParagraphFont"/>
    <w:link w:val="Header"/>
    <w:uiPriority w:val="99"/>
    <w:semiHidden/>
    <w:rsid w:val="005601F4"/>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932C1E-CA40-4305-A8C9-EBBA88F82FEA}">
  <ds:schemaRefs>
    <ds:schemaRef ds:uri="http://purl.org/dc/terms/"/>
    <ds:schemaRef ds:uri="ab813fb6-1347-4985-ab36-6575371b00b3"/>
    <ds:schemaRef ds:uri="http://purl.org/dc/dcmitype/"/>
    <ds:schemaRef ds:uri="http://schemas.microsoft.com/office/2006/metadata/properties"/>
    <ds:schemaRef ds:uri="http://schemas.microsoft.com/office/2006/documentManagement/types"/>
    <ds:schemaRef ds:uri="2ff76fbf-12b9-4337-ad3b-122e2d975ade"/>
    <ds:schemaRef ds:uri="http://www.w3.org/XML/1998/namespace"/>
    <ds:schemaRef ds:uri="http://purl.org/dc/elements/1.1/"/>
    <ds:schemaRef ds:uri="http://schemas.microsoft.com/office/infopath/2007/PartnerControls"/>
    <ds:schemaRef ds:uri="http://schemas.openxmlformats.org/package/2006/metadata/core-properties"/>
    <ds:schemaRef ds:uri="a7bc6c04-a6f3-4b85-abcc-278c78dc556b"/>
  </ds:schemaRefs>
</ds:datastoreItem>
</file>

<file path=customXml/itemProps2.xml><?xml version="1.0" encoding="utf-8"?>
<ds:datastoreItem xmlns:ds="http://schemas.openxmlformats.org/officeDocument/2006/customXml" ds:itemID="{8C0F4E4C-B9E1-4B9E-9895-2FEB664F1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316855-32C9-4ACF-9CE2-8C6CBE90FE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4</Pages>
  <Words>1335</Words>
  <Characters>7612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Talarico</dc:creator>
  <cp:keywords/>
  <dc:description/>
  <cp:lastModifiedBy>Lee, Daewon</cp:lastModifiedBy>
  <cp:revision>60</cp:revision>
  <dcterms:created xsi:type="dcterms:W3CDTF">2022-08-01T18:23:00Z</dcterms:created>
  <dcterms:modified xsi:type="dcterms:W3CDTF">2022-08-10T23:46:00Z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